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BDCA" w14:textId="77777777" w:rsidR="00AD2632" w:rsidRDefault="00AD2632"/>
    <w:p w14:paraId="4C07BDCB" w14:textId="77777777" w:rsidR="00AD2632" w:rsidRPr="00F8558C" w:rsidRDefault="001805CC">
      <w:pPr>
        <w:rPr>
          <w:sz w:val="21"/>
          <w:szCs w:val="21"/>
        </w:rPr>
      </w:pPr>
      <w:r>
        <w:rPr>
          <w:sz w:val="21"/>
          <w:szCs w:val="21"/>
        </w:rPr>
        <w:t>Although placement at the Care Clinic does not place an emphasis on assessment</w:t>
      </w:r>
      <w:r w:rsidR="00AD2632" w:rsidRPr="00F8558C">
        <w:rPr>
          <w:sz w:val="21"/>
          <w:szCs w:val="21"/>
        </w:rPr>
        <w:t xml:space="preserve">, </w:t>
      </w:r>
      <w:r w:rsidR="00FF2D3D">
        <w:rPr>
          <w:sz w:val="21"/>
          <w:szCs w:val="21"/>
        </w:rPr>
        <w:t xml:space="preserve">all graduate </w:t>
      </w:r>
      <w:r w:rsidR="00AD2632" w:rsidRPr="00F8558C">
        <w:rPr>
          <w:sz w:val="21"/>
          <w:szCs w:val="21"/>
        </w:rPr>
        <w:t xml:space="preserve">students will get a bit of assessment experience through using various measures during the course of the intake evaluation. Additionally, clinical students have </w:t>
      </w:r>
      <w:r w:rsidR="00FF2D3D">
        <w:rPr>
          <w:sz w:val="21"/>
          <w:szCs w:val="21"/>
        </w:rPr>
        <w:t xml:space="preserve">the opportunity to </w:t>
      </w:r>
      <w:r w:rsidR="00AD2632" w:rsidRPr="00F8558C">
        <w:rPr>
          <w:sz w:val="21"/>
          <w:szCs w:val="21"/>
        </w:rPr>
        <w:t xml:space="preserve">completed </w:t>
      </w:r>
      <w:r w:rsidR="00FF2D3D">
        <w:rPr>
          <w:sz w:val="21"/>
          <w:szCs w:val="21"/>
        </w:rPr>
        <w:t xml:space="preserve">at least </w:t>
      </w:r>
      <w:r w:rsidR="00AD2632" w:rsidRPr="00F8558C">
        <w:rPr>
          <w:sz w:val="21"/>
          <w:szCs w:val="21"/>
        </w:rPr>
        <w:t xml:space="preserve">one </w:t>
      </w:r>
      <w:r>
        <w:rPr>
          <w:sz w:val="21"/>
          <w:szCs w:val="21"/>
        </w:rPr>
        <w:t xml:space="preserve">full psychological </w:t>
      </w:r>
      <w:r w:rsidR="00AD2632" w:rsidRPr="00F8558C">
        <w:rPr>
          <w:sz w:val="21"/>
          <w:szCs w:val="21"/>
        </w:rPr>
        <w:t>battery throughout the course of their practicum</w:t>
      </w:r>
      <w:r w:rsidR="00F8558C" w:rsidRPr="00F8558C">
        <w:rPr>
          <w:sz w:val="21"/>
          <w:szCs w:val="21"/>
        </w:rPr>
        <w:t>.</w:t>
      </w:r>
    </w:p>
    <w:p w14:paraId="4C07BDCC" w14:textId="77777777" w:rsidR="00AD2632" w:rsidRPr="001805CC" w:rsidRDefault="00AD2632" w:rsidP="00FF2D3D">
      <w:pPr>
        <w:pStyle w:val="Heading2"/>
        <w:tabs>
          <w:tab w:val="left" w:pos="4456"/>
        </w:tabs>
      </w:pPr>
      <w:r w:rsidRPr="001805CC">
        <w:t>Intakes</w:t>
      </w:r>
      <w:r w:rsidR="00FF2D3D">
        <w:tab/>
      </w:r>
    </w:p>
    <w:p w14:paraId="4C07BDCD" w14:textId="77777777" w:rsidR="00AD2632" w:rsidRPr="00F8558C" w:rsidRDefault="00AD2632" w:rsidP="00AD2632">
      <w:pPr>
        <w:rPr>
          <w:sz w:val="21"/>
          <w:szCs w:val="21"/>
        </w:rPr>
      </w:pPr>
      <w:r w:rsidRPr="00F8558C">
        <w:rPr>
          <w:sz w:val="21"/>
          <w:szCs w:val="21"/>
        </w:rPr>
        <w:t>Along with a semi-structured clinical interview</w:t>
      </w:r>
      <w:r w:rsidR="00F8558C" w:rsidRPr="00F8558C">
        <w:rPr>
          <w:sz w:val="21"/>
          <w:szCs w:val="21"/>
        </w:rPr>
        <w:t>, intake evaluations commonly incorporate a few behavioral/emotional and trauma symptom measures</w:t>
      </w:r>
      <w:r w:rsidRPr="00F8558C">
        <w:rPr>
          <w:sz w:val="21"/>
          <w:szCs w:val="21"/>
        </w:rPr>
        <w:t>. The intakes usually include the following:</w:t>
      </w:r>
    </w:p>
    <w:p w14:paraId="4C07BDCE" w14:textId="77777777" w:rsidR="00AD2632" w:rsidRPr="00F8558C" w:rsidRDefault="00AD2632" w:rsidP="00AD2632">
      <w:pPr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D2632" w:rsidRPr="00F8558C" w14:paraId="4C07BDDA" w14:textId="77777777" w:rsidTr="006A5E1B">
        <w:tc>
          <w:tcPr>
            <w:tcW w:w="4788" w:type="dxa"/>
          </w:tcPr>
          <w:p w14:paraId="4C07BDCF" w14:textId="77777777" w:rsidR="00AD2632" w:rsidRPr="00F8558C" w:rsidRDefault="00AD2632" w:rsidP="00AD2632">
            <w:pPr>
              <w:rPr>
                <w:sz w:val="21"/>
                <w:szCs w:val="21"/>
              </w:rPr>
            </w:pPr>
            <w:r w:rsidRPr="00F8558C">
              <w:rPr>
                <w:sz w:val="21"/>
                <w:szCs w:val="21"/>
              </w:rPr>
              <w:t>For children/adolescents:</w:t>
            </w:r>
          </w:p>
          <w:p w14:paraId="4C07BDD0" w14:textId="77777777" w:rsidR="00AD2632" w:rsidRPr="00F8558C" w:rsidRDefault="00AD2632" w:rsidP="00AD2632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F8558C">
              <w:rPr>
                <w:sz w:val="21"/>
                <w:szCs w:val="21"/>
              </w:rPr>
              <w:t>Child Behavior Checklist (CBCL)</w:t>
            </w:r>
          </w:p>
          <w:p w14:paraId="4C07BDD1" w14:textId="77777777" w:rsidR="00AD2632" w:rsidRPr="00F8558C" w:rsidRDefault="00AD2632" w:rsidP="00AD2632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F8558C">
              <w:rPr>
                <w:sz w:val="21"/>
                <w:szCs w:val="21"/>
              </w:rPr>
              <w:t>Youth Self Report (YSR)</w:t>
            </w:r>
          </w:p>
          <w:p w14:paraId="4C07BDD2" w14:textId="77777777" w:rsidR="00AD2632" w:rsidRPr="00F8558C" w:rsidRDefault="00AD2632" w:rsidP="00AD2632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F8558C">
              <w:rPr>
                <w:sz w:val="21"/>
                <w:szCs w:val="21"/>
              </w:rPr>
              <w:t>Teacher Report Form (TRF)</w:t>
            </w:r>
          </w:p>
          <w:p w14:paraId="4C07BDD3" w14:textId="77777777" w:rsidR="006A5E1B" w:rsidRPr="00F8558C" w:rsidRDefault="006A5E1B" w:rsidP="00AD2632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F8558C">
              <w:rPr>
                <w:sz w:val="21"/>
                <w:szCs w:val="21"/>
              </w:rPr>
              <w:t>Trauma Symptom Checklist for Young Children (TSCYC)</w:t>
            </w:r>
          </w:p>
          <w:p w14:paraId="4C07BDD4" w14:textId="77777777" w:rsidR="00AD2632" w:rsidRPr="00F8558C" w:rsidRDefault="006A5E1B" w:rsidP="00AD2632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F8558C">
              <w:rPr>
                <w:sz w:val="21"/>
                <w:szCs w:val="21"/>
              </w:rPr>
              <w:t>Trauma Symptom Checklist for Children (TSCC)</w:t>
            </w:r>
            <w:r w:rsidR="00AD2632" w:rsidRPr="00F8558C">
              <w:rPr>
                <w:sz w:val="21"/>
                <w:szCs w:val="21"/>
              </w:rPr>
              <w:t xml:space="preserve"> </w:t>
            </w:r>
          </w:p>
          <w:p w14:paraId="4C07BDD5" w14:textId="77777777" w:rsidR="006A5E1B" w:rsidRPr="00F8558C" w:rsidRDefault="006A5E1B" w:rsidP="00AD2632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F8558C">
              <w:rPr>
                <w:sz w:val="21"/>
                <w:szCs w:val="21"/>
              </w:rPr>
              <w:t>Projective drawings (e.g., Kinetic Family Drawing, House-Tree-Person)</w:t>
            </w:r>
          </w:p>
        </w:tc>
        <w:tc>
          <w:tcPr>
            <w:tcW w:w="4788" w:type="dxa"/>
          </w:tcPr>
          <w:p w14:paraId="4C07BDD6" w14:textId="77777777" w:rsidR="00AD2632" w:rsidRPr="00F8558C" w:rsidRDefault="00AD2632" w:rsidP="00AD2632">
            <w:pPr>
              <w:rPr>
                <w:sz w:val="21"/>
                <w:szCs w:val="21"/>
              </w:rPr>
            </w:pPr>
            <w:r w:rsidRPr="00F8558C">
              <w:rPr>
                <w:sz w:val="21"/>
                <w:szCs w:val="21"/>
              </w:rPr>
              <w:t>For adults:</w:t>
            </w:r>
          </w:p>
          <w:p w14:paraId="4C07BDD7" w14:textId="77777777" w:rsidR="00AD2632" w:rsidRPr="00F8558C" w:rsidRDefault="00AD2632" w:rsidP="00AD2632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proofErr w:type="spellStart"/>
            <w:r w:rsidRPr="00F8558C">
              <w:rPr>
                <w:sz w:val="21"/>
                <w:szCs w:val="21"/>
              </w:rPr>
              <w:t>Zung</w:t>
            </w:r>
            <w:proofErr w:type="spellEnd"/>
            <w:r w:rsidRPr="00F8558C">
              <w:rPr>
                <w:sz w:val="21"/>
                <w:szCs w:val="21"/>
              </w:rPr>
              <w:t xml:space="preserve"> Self-Rating Anxiety Screener (ZSAS)</w:t>
            </w:r>
          </w:p>
          <w:p w14:paraId="4C07BDD8" w14:textId="77777777" w:rsidR="00AD2632" w:rsidRPr="00F8558C" w:rsidRDefault="00AD2632" w:rsidP="00AD2632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proofErr w:type="spellStart"/>
            <w:r w:rsidRPr="00F8558C">
              <w:rPr>
                <w:sz w:val="21"/>
                <w:szCs w:val="21"/>
              </w:rPr>
              <w:t>Zung</w:t>
            </w:r>
            <w:proofErr w:type="spellEnd"/>
            <w:r w:rsidRPr="00F8558C">
              <w:rPr>
                <w:sz w:val="21"/>
                <w:szCs w:val="21"/>
              </w:rPr>
              <w:t xml:space="preserve"> Self-Rating Depression Screener (ZSDS)</w:t>
            </w:r>
          </w:p>
          <w:p w14:paraId="4C07BDD9" w14:textId="77777777" w:rsidR="00AD2632" w:rsidRPr="00F8558C" w:rsidRDefault="00AD2632" w:rsidP="00AD2632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F8558C">
              <w:rPr>
                <w:sz w:val="21"/>
                <w:szCs w:val="21"/>
              </w:rPr>
              <w:t>Trauma Symptom Inventory, 2</w:t>
            </w:r>
            <w:r w:rsidRPr="00F8558C">
              <w:rPr>
                <w:sz w:val="21"/>
                <w:szCs w:val="21"/>
                <w:vertAlign w:val="superscript"/>
              </w:rPr>
              <w:t>nd</w:t>
            </w:r>
            <w:r w:rsidRPr="00F8558C">
              <w:rPr>
                <w:sz w:val="21"/>
                <w:szCs w:val="21"/>
              </w:rPr>
              <w:t xml:space="preserve"> Edition (TSI-2)</w:t>
            </w:r>
          </w:p>
        </w:tc>
      </w:tr>
    </w:tbl>
    <w:p w14:paraId="4C07BDDB" w14:textId="77777777" w:rsidR="00F8558C" w:rsidRPr="00F8558C" w:rsidRDefault="00F8558C" w:rsidP="00F8558C">
      <w:pPr>
        <w:rPr>
          <w:sz w:val="21"/>
          <w:szCs w:val="21"/>
        </w:rPr>
      </w:pPr>
    </w:p>
    <w:p w14:paraId="4C07BDDC" w14:textId="77777777" w:rsidR="00F8558C" w:rsidRPr="00F8558C" w:rsidRDefault="00F8558C" w:rsidP="00F8558C">
      <w:pPr>
        <w:rPr>
          <w:sz w:val="21"/>
          <w:szCs w:val="21"/>
        </w:rPr>
      </w:pPr>
      <w:r w:rsidRPr="00F8558C">
        <w:rPr>
          <w:sz w:val="21"/>
          <w:szCs w:val="21"/>
        </w:rPr>
        <w:t xml:space="preserve">The same measures are usually re-administered every 6 months to track symptoms and progress. </w:t>
      </w:r>
    </w:p>
    <w:p w14:paraId="4C07BDDD" w14:textId="77777777" w:rsidR="006A5E1B" w:rsidRPr="001805CC" w:rsidRDefault="006A5E1B" w:rsidP="001805CC">
      <w:pPr>
        <w:pStyle w:val="Heading2"/>
      </w:pPr>
      <w:r w:rsidRPr="001805CC">
        <w:t>Other Assessment Measures</w:t>
      </w:r>
    </w:p>
    <w:p w14:paraId="4C07BDDE" w14:textId="77777777" w:rsidR="006A5E1B" w:rsidRPr="00F8558C" w:rsidRDefault="006A5E1B" w:rsidP="006A5E1B">
      <w:pPr>
        <w:rPr>
          <w:sz w:val="21"/>
          <w:szCs w:val="21"/>
        </w:rPr>
      </w:pPr>
      <w:r w:rsidRPr="00F8558C">
        <w:rPr>
          <w:sz w:val="21"/>
          <w:szCs w:val="21"/>
        </w:rPr>
        <w:t>In addition to the measures listed above, the Care Clinic has at its disposal a few different assessment measures which can be used during the course of a comprehensive psychological assessment and/or during the course of therapy to track symptoms. These measures include:</w:t>
      </w:r>
    </w:p>
    <w:p w14:paraId="4C07BDDF" w14:textId="77777777" w:rsidR="006A5E1B" w:rsidRPr="00F8558C" w:rsidRDefault="006A5E1B" w:rsidP="006A5E1B">
      <w:pPr>
        <w:rPr>
          <w:sz w:val="21"/>
          <w:szCs w:val="21"/>
        </w:rPr>
      </w:pPr>
    </w:p>
    <w:p w14:paraId="4C07BDE0" w14:textId="77777777" w:rsidR="006A5E1B" w:rsidRPr="00F8558C" w:rsidRDefault="006A5E1B" w:rsidP="006A5E1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Wechsler intelligence series</w:t>
      </w:r>
    </w:p>
    <w:p w14:paraId="4C07BDE1" w14:textId="77777777" w:rsidR="006A5E1B" w:rsidRPr="00F8558C" w:rsidRDefault="006A5E1B" w:rsidP="006A5E1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Wechsler Adult Intelligence Scales, 4</w:t>
      </w:r>
      <w:r w:rsidRPr="00F8558C">
        <w:rPr>
          <w:sz w:val="21"/>
          <w:szCs w:val="21"/>
          <w:vertAlign w:val="superscript"/>
        </w:rPr>
        <w:t>th</w:t>
      </w:r>
      <w:r w:rsidRPr="00F8558C">
        <w:rPr>
          <w:sz w:val="21"/>
          <w:szCs w:val="21"/>
        </w:rPr>
        <w:t xml:space="preserve"> Edition (WAIS-IV)</w:t>
      </w:r>
    </w:p>
    <w:p w14:paraId="4C07BDE2" w14:textId="2AF3B0A2" w:rsidR="006A5E1B" w:rsidRPr="00F8558C" w:rsidRDefault="006A5E1B" w:rsidP="006A5E1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 xml:space="preserve">Wechsler Intelligence Scales for Children, </w:t>
      </w:r>
      <w:r w:rsidR="00715E4C">
        <w:rPr>
          <w:sz w:val="21"/>
          <w:szCs w:val="21"/>
        </w:rPr>
        <w:t>5</w:t>
      </w:r>
      <w:r w:rsidRPr="00F8558C">
        <w:rPr>
          <w:sz w:val="21"/>
          <w:szCs w:val="21"/>
          <w:vertAlign w:val="superscript"/>
        </w:rPr>
        <w:t>th</w:t>
      </w:r>
      <w:r w:rsidRPr="00F8558C">
        <w:rPr>
          <w:sz w:val="21"/>
          <w:szCs w:val="21"/>
        </w:rPr>
        <w:t xml:space="preserve"> Edition (WISC-V)</w:t>
      </w:r>
    </w:p>
    <w:p w14:paraId="4C07BDE4" w14:textId="77777777" w:rsidR="006A5E1B" w:rsidRPr="00F8558C" w:rsidRDefault="006A5E1B" w:rsidP="006A5E1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Achievement Test</w:t>
      </w:r>
    </w:p>
    <w:p w14:paraId="4C07BDE5" w14:textId="77777777" w:rsidR="006A5E1B" w:rsidRPr="00F8558C" w:rsidRDefault="006A5E1B" w:rsidP="006A5E1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Wide Range Achievement Test, 4</w:t>
      </w:r>
      <w:r w:rsidRPr="00F8558C">
        <w:rPr>
          <w:sz w:val="21"/>
          <w:szCs w:val="21"/>
          <w:vertAlign w:val="superscript"/>
        </w:rPr>
        <w:t>th</w:t>
      </w:r>
      <w:r w:rsidRPr="00F8558C">
        <w:rPr>
          <w:sz w:val="21"/>
          <w:szCs w:val="21"/>
        </w:rPr>
        <w:t xml:space="preserve"> Editi</w:t>
      </w:r>
      <w:r w:rsidR="00F8558C" w:rsidRPr="00F8558C">
        <w:rPr>
          <w:sz w:val="21"/>
          <w:szCs w:val="21"/>
        </w:rPr>
        <w:t>on (WRAT</w:t>
      </w:r>
      <w:r w:rsidRPr="00F8558C">
        <w:rPr>
          <w:sz w:val="21"/>
          <w:szCs w:val="21"/>
        </w:rPr>
        <w:t>4)</w:t>
      </w:r>
    </w:p>
    <w:p w14:paraId="4C07BDE6" w14:textId="77777777" w:rsidR="006A5E1B" w:rsidRPr="00F8558C" w:rsidRDefault="006A5E1B" w:rsidP="006A5E1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Language Assessments</w:t>
      </w:r>
    </w:p>
    <w:p w14:paraId="4C07BDE7" w14:textId="77777777" w:rsidR="006A5E1B" w:rsidRPr="00F8558C" w:rsidRDefault="006A5E1B" w:rsidP="006A5E1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Peabody Picture Vocabulary Test, 4</w:t>
      </w:r>
      <w:r w:rsidRPr="00F8558C">
        <w:rPr>
          <w:sz w:val="21"/>
          <w:szCs w:val="21"/>
          <w:vertAlign w:val="superscript"/>
        </w:rPr>
        <w:t>th</w:t>
      </w:r>
      <w:r w:rsidRPr="00F8558C">
        <w:rPr>
          <w:sz w:val="21"/>
          <w:szCs w:val="21"/>
        </w:rPr>
        <w:t xml:space="preserve"> Edition (PPVT-4)</w:t>
      </w:r>
    </w:p>
    <w:p w14:paraId="4C07BDE8" w14:textId="77777777" w:rsidR="006A5E1B" w:rsidRPr="00F8558C" w:rsidRDefault="006A5E1B" w:rsidP="006A5E1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Expressive Vocabulary Test, 2</w:t>
      </w:r>
      <w:r w:rsidRPr="00F8558C">
        <w:rPr>
          <w:sz w:val="21"/>
          <w:szCs w:val="21"/>
          <w:vertAlign w:val="superscript"/>
        </w:rPr>
        <w:t>nd</w:t>
      </w:r>
      <w:r w:rsidRPr="00F8558C">
        <w:rPr>
          <w:sz w:val="21"/>
          <w:szCs w:val="21"/>
        </w:rPr>
        <w:t xml:space="preserve"> Edition (EVT-2)</w:t>
      </w:r>
    </w:p>
    <w:p w14:paraId="4C07BDE9" w14:textId="77777777" w:rsidR="006A5E1B" w:rsidRPr="00F8558C" w:rsidRDefault="006A5E1B" w:rsidP="006A5E1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Children’s Emotional screeners</w:t>
      </w:r>
    </w:p>
    <w:p w14:paraId="4C07BDEA" w14:textId="77777777" w:rsidR="006A5E1B" w:rsidRPr="00F8558C" w:rsidRDefault="006A5E1B" w:rsidP="006A5E1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Child</w:t>
      </w:r>
      <w:r w:rsidR="00A77864">
        <w:rPr>
          <w:sz w:val="21"/>
          <w:szCs w:val="21"/>
        </w:rPr>
        <w:t>ren’s</w:t>
      </w:r>
      <w:r w:rsidRPr="00F8558C">
        <w:rPr>
          <w:sz w:val="21"/>
          <w:szCs w:val="21"/>
        </w:rPr>
        <w:t xml:space="preserve"> Depressi</w:t>
      </w:r>
      <w:r w:rsidR="00A77864">
        <w:rPr>
          <w:sz w:val="21"/>
          <w:szCs w:val="21"/>
        </w:rPr>
        <w:t>on</w:t>
      </w:r>
      <w:r w:rsidRPr="00F8558C">
        <w:rPr>
          <w:sz w:val="21"/>
          <w:szCs w:val="21"/>
        </w:rPr>
        <w:t xml:space="preserve"> Inventory (CDI)</w:t>
      </w:r>
    </w:p>
    <w:p w14:paraId="4C07BDEB" w14:textId="77777777" w:rsidR="006A5E1B" w:rsidRPr="00F8558C" w:rsidRDefault="006A5E1B" w:rsidP="006A5E1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Revised Children’s Manifest Anxiety Scales, 2</w:t>
      </w:r>
      <w:r w:rsidRPr="00F8558C">
        <w:rPr>
          <w:sz w:val="21"/>
          <w:szCs w:val="21"/>
          <w:vertAlign w:val="superscript"/>
        </w:rPr>
        <w:t>nd</w:t>
      </w:r>
      <w:r w:rsidRPr="00F8558C">
        <w:rPr>
          <w:sz w:val="21"/>
          <w:szCs w:val="21"/>
        </w:rPr>
        <w:t xml:space="preserve"> Edition (RCMAS-2)</w:t>
      </w:r>
    </w:p>
    <w:p w14:paraId="4C07BDEC" w14:textId="77777777" w:rsidR="006A5E1B" w:rsidRPr="00F8558C" w:rsidRDefault="006A5E1B" w:rsidP="006A5E1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Projective tests</w:t>
      </w:r>
    </w:p>
    <w:p w14:paraId="4C07BDED" w14:textId="77777777" w:rsidR="006A5E1B" w:rsidRPr="00F8558C" w:rsidRDefault="006A5E1B" w:rsidP="006A5E1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Tell Me A Story (TEMAS)</w:t>
      </w:r>
    </w:p>
    <w:p w14:paraId="4C07BDEE" w14:textId="77777777" w:rsidR="006A5E1B" w:rsidRPr="00F8558C" w:rsidRDefault="00F8558C" w:rsidP="006A5E1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Roberts Apperception Test, 2</w:t>
      </w:r>
      <w:r w:rsidRPr="00F8558C">
        <w:rPr>
          <w:sz w:val="21"/>
          <w:szCs w:val="21"/>
          <w:vertAlign w:val="superscript"/>
        </w:rPr>
        <w:t>nd</w:t>
      </w:r>
      <w:r w:rsidRPr="00F8558C">
        <w:rPr>
          <w:sz w:val="21"/>
          <w:szCs w:val="21"/>
        </w:rPr>
        <w:t xml:space="preserve"> Edition (Roberts-2)</w:t>
      </w:r>
    </w:p>
    <w:p w14:paraId="4C07BDEF" w14:textId="77777777" w:rsidR="00F8558C" w:rsidRPr="00F8558C" w:rsidRDefault="00F8558C" w:rsidP="006A5E1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Sentence Completion Form</w:t>
      </w:r>
    </w:p>
    <w:p w14:paraId="4C07BDF0" w14:textId="77777777" w:rsidR="00F8558C" w:rsidRPr="00F8558C" w:rsidRDefault="00F8558C" w:rsidP="006A5E1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Adaptive behavior</w:t>
      </w:r>
      <w:r w:rsidR="001805CC">
        <w:rPr>
          <w:sz w:val="21"/>
          <w:szCs w:val="21"/>
        </w:rPr>
        <w:t xml:space="preserve"> measure</w:t>
      </w:r>
    </w:p>
    <w:p w14:paraId="4C07BDF1" w14:textId="77777777" w:rsidR="00F8558C" w:rsidRPr="00F8558C" w:rsidRDefault="00F8558C" w:rsidP="00F8558C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Vineland Adaptive Behavior Scales, 2</w:t>
      </w:r>
      <w:r w:rsidRPr="00F8558C">
        <w:rPr>
          <w:sz w:val="21"/>
          <w:szCs w:val="21"/>
          <w:vertAlign w:val="superscript"/>
        </w:rPr>
        <w:t>nd</w:t>
      </w:r>
      <w:r w:rsidRPr="00F8558C">
        <w:rPr>
          <w:sz w:val="21"/>
          <w:szCs w:val="21"/>
        </w:rPr>
        <w:t xml:space="preserve"> Edition (Vineland-2)</w:t>
      </w:r>
    </w:p>
    <w:p w14:paraId="4C07BDF2" w14:textId="77777777" w:rsidR="00F8558C" w:rsidRPr="00F8558C" w:rsidRDefault="00F8558C" w:rsidP="006A5E1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Motor-Visual Coordination</w:t>
      </w:r>
    </w:p>
    <w:p w14:paraId="4C07BDF3" w14:textId="77777777" w:rsidR="00F8558C" w:rsidRPr="00F8558C" w:rsidRDefault="00F8558C" w:rsidP="00F8558C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Beery Buktenica Developmental Test of Visual Motor Integration (Beery VMI)</w:t>
      </w:r>
    </w:p>
    <w:p w14:paraId="4C07BDF4" w14:textId="77777777" w:rsidR="00F8558C" w:rsidRPr="00F8558C" w:rsidRDefault="00F8558C" w:rsidP="006A5E1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Other various symptom measures</w:t>
      </w:r>
    </w:p>
    <w:p w14:paraId="4C07BDF5" w14:textId="77777777" w:rsidR="006A5E1B" w:rsidRPr="00F8558C" w:rsidRDefault="006A5E1B" w:rsidP="00F8558C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Conners Ratings Forms, 3</w:t>
      </w:r>
      <w:r w:rsidRPr="00F8558C">
        <w:rPr>
          <w:sz w:val="21"/>
          <w:szCs w:val="21"/>
          <w:vertAlign w:val="superscript"/>
        </w:rPr>
        <w:t>rd</w:t>
      </w:r>
      <w:r w:rsidRPr="00F8558C">
        <w:rPr>
          <w:sz w:val="21"/>
          <w:szCs w:val="21"/>
        </w:rPr>
        <w:t xml:space="preserve"> Edition (Conners-3)</w:t>
      </w:r>
    </w:p>
    <w:p w14:paraId="4C07BDF6" w14:textId="77777777" w:rsidR="006A5E1B" w:rsidRPr="00F8558C" w:rsidRDefault="006A5E1B" w:rsidP="00F8558C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F8558C">
        <w:rPr>
          <w:sz w:val="21"/>
          <w:szCs w:val="21"/>
        </w:rPr>
        <w:t>Parenting Stress Index (PSI), 3</w:t>
      </w:r>
      <w:r w:rsidRPr="00F8558C">
        <w:rPr>
          <w:sz w:val="21"/>
          <w:szCs w:val="21"/>
          <w:vertAlign w:val="superscript"/>
        </w:rPr>
        <w:t>rd</w:t>
      </w:r>
      <w:r w:rsidRPr="00F8558C">
        <w:rPr>
          <w:sz w:val="21"/>
          <w:szCs w:val="21"/>
        </w:rPr>
        <w:t xml:space="preserve"> Edition</w:t>
      </w:r>
    </w:p>
    <w:sectPr w:rsidR="006A5E1B" w:rsidRPr="00F8558C" w:rsidSect="00F8558C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0222" w14:textId="77777777" w:rsidR="00074D4F" w:rsidRDefault="00074D4F" w:rsidP="00F8558C">
      <w:r>
        <w:separator/>
      </w:r>
    </w:p>
  </w:endnote>
  <w:endnote w:type="continuationSeparator" w:id="0">
    <w:p w14:paraId="76171FDB" w14:textId="77777777" w:rsidR="00074D4F" w:rsidRDefault="00074D4F" w:rsidP="00F8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349D" w14:textId="77777777" w:rsidR="00074D4F" w:rsidRDefault="00074D4F" w:rsidP="00F8558C">
      <w:r>
        <w:separator/>
      </w:r>
    </w:p>
  </w:footnote>
  <w:footnote w:type="continuationSeparator" w:id="0">
    <w:p w14:paraId="0028226F" w14:textId="77777777" w:rsidR="00074D4F" w:rsidRDefault="00074D4F" w:rsidP="00F85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BDFB" w14:textId="77777777" w:rsidR="00F8558C" w:rsidRDefault="00F8558C">
    <w:pPr>
      <w:pStyle w:val="Header"/>
    </w:pPr>
    <w:r w:rsidRPr="00F8558C">
      <w:rPr>
        <w:b/>
        <w:sz w:val="24"/>
        <w:szCs w:val="24"/>
      </w:rPr>
      <w:t xml:space="preserve">University of Maryland Care Clinic Assessment </w:t>
    </w:r>
    <w:r w:rsidR="001805CC">
      <w:rPr>
        <w:b/>
        <w:sz w:val="24"/>
        <w:szCs w:val="24"/>
      </w:rPr>
      <w:t>I</w:t>
    </w:r>
    <w:r w:rsidRPr="00F8558C">
      <w:rPr>
        <w:b/>
        <w:sz w:val="24"/>
        <w:szCs w:val="24"/>
      </w:rPr>
      <w:t>nformation</w:t>
    </w:r>
    <w:r>
      <w:tab/>
    </w:r>
    <w:r>
      <w:rPr>
        <w:noProof/>
      </w:rPr>
      <w:drawing>
        <wp:inline distT="0" distB="0" distL="0" distR="0" wp14:anchorId="4C07BDFC" wp14:editId="4C07BDFD">
          <wp:extent cx="2057414" cy="540989"/>
          <wp:effectExtent l="19050" t="0" r="0" b="0"/>
          <wp:docPr id="1" name="Picture 0" descr="um_childrens_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_childrens_p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3462" cy="542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79E0"/>
    <w:multiLevelType w:val="hybridMultilevel"/>
    <w:tmpl w:val="EFF2A006"/>
    <w:lvl w:ilvl="0" w:tplc="A9C6A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32"/>
    <w:rsid w:val="00074D4F"/>
    <w:rsid w:val="00154F7D"/>
    <w:rsid w:val="001805CC"/>
    <w:rsid w:val="00304343"/>
    <w:rsid w:val="00387160"/>
    <w:rsid w:val="006A5E1B"/>
    <w:rsid w:val="00715E4C"/>
    <w:rsid w:val="0079294A"/>
    <w:rsid w:val="00A77864"/>
    <w:rsid w:val="00AD2632"/>
    <w:rsid w:val="00B24E8A"/>
    <w:rsid w:val="00B46D5C"/>
    <w:rsid w:val="00DB1272"/>
    <w:rsid w:val="00F8558C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7BDCA"/>
  <w15:docId w15:val="{3C7ED14C-F727-494F-9792-39C8236C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72"/>
  </w:style>
  <w:style w:type="paragraph" w:styleId="Heading1">
    <w:name w:val="heading 1"/>
    <w:basedOn w:val="Normal"/>
    <w:next w:val="Normal"/>
    <w:link w:val="Heading1Char"/>
    <w:uiPriority w:val="9"/>
    <w:qFormat/>
    <w:rsid w:val="00AD2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6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2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D2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6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5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58C"/>
  </w:style>
  <w:style w:type="paragraph" w:styleId="Footer">
    <w:name w:val="footer"/>
    <w:basedOn w:val="Normal"/>
    <w:link w:val="FooterChar"/>
    <w:uiPriority w:val="99"/>
    <w:semiHidden/>
    <w:unhideWhenUsed/>
    <w:rsid w:val="00F85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58C"/>
  </w:style>
  <w:style w:type="paragraph" w:styleId="BalloonText">
    <w:name w:val="Balloon Text"/>
    <w:basedOn w:val="Normal"/>
    <w:link w:val="BalloonTextChar"/>
    <w:uiPriority w:val="99"/>
    <w:semiHidden/>
    <w:unhideWhenUsed/>
    <w:rsid w:val="00F85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5AF987309144193B81B97A411EE7A" ma:contentTypeVersion="10" ma:contentTypeDescription="Create a new document." ma:contentTypeScope="" ma:versionID="d6efe49619d95d5abf13f36449b8742d">
  <xsd:schema xmlns:xsd="http://www.w3.org/2001/XMLSchema" xmlns:xs="http://www.w3.org/2001/XMLSchema" xmlns:p="http://schemas.microsoft.com/office/2006/metadata/properties" xmlns:ns2="06d43fc8-324d-415d-a068-ddd99381b85a" xmlns:ns3="a58da66d-7c6a-432b-b979-1ca66629dcec" targetNamespace="http://schemas.microsoft.com/office/2006/metadata/properties" ma:root="true" ma:fieldsID="81056a58d4fed9fe2ae57e6ae7e4f71b" ns2:_="" ns3:_="">
    <xsd:import namespace="06d43fc8-324d-415d-a068-ddd99381b85a"/>
    <xsd:import namespace="a58da66d-7c6a-432b-b979-1ca66629d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3fc8-324d-415d-a068-ddd99381b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a66d-7c6a-432b-b979-1ca66629d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8da66d-7c6a-432b-b979-1ca66629dcec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AA74D-DF7A-4DAB-AC32-D1F760476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43fc8-324d-415d-a068-ddd99381b85a"/>
    <ds:schemaRef ds:uri="a58da66d-7c6a-432b-b979-1ca66629d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46C41-67D1-4220-A0F0-CAC37E32A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2D0B2-8E34-43F0-ADF2-FCFC83200FFB}">
  <ds:schemaRefs>
    <ds:schemaRef ds:uri="http://schemas.microsoft.com/office/2006/metadata/properties"/>
    <ds:schemaRef ds:uri="http://schemas.microsoft.com/office/infopath/2007/PartnerControls"/>
    <ds:schemaRef ds:uri="a58da66d-7c6a-432b-b979-1ca66629dcec"/>
  </ds:schemaRefs>
</ds:datastoreItem>
</file>

<file path=customXml/itemProps4.xml><?xml version="1.0" encoding="utf-8"?>
<ds:datastoreItem xmlns:ds="http://schemas.openxmlformats.org/officeDocument/2006/customXml" ds:itemID="{6F8A6155-263F-4D82-A681-DC3010E7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UPI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Randy K Chang</dc:creator>
  <cp:lastModifiedBy>Michelle Mencia</cp:lastModifiedBy>
  <cp:revision>2</cp:revision>
  <cp:lastPrinted>2013-02-25T16:28:00Z</cp:lastPrinted>
  <dcterms:created xsi:type="dcterms:W3CDTF">2021-12-14T15:09:00Z</dcterms:created>
  <dcterms:modified xsi:type="dcterms:W3CDTF">2021-12-14T15:09:00Z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0x010100C405AF987309144193B81B97A411EE7A</vt:lpwstr>
  </property>
  <property fmtid="{D5CDD505-2E9C-101B-9397-08002B2CF9AE}" pid="3" name="Order">
    <vt:r8>299900</vt:r8>
  </property>
  <property fmtid="{D5CDD505-2E9C-101B-9397-08002B2CF9AE}" pid="4" name="ComplianceAssetId">
    <vt:lpwstr/>
  </property>
</Properties>
</file>