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37AD5" w14:textId="77777777" w:rsidR="00E63C26" w:rsidRPr="00E63C26" w:rsidRDefault="00E63C26" w:rsidP="00E63C26">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Pr>
          <w:b/>
          <w:color w:val="006847"/>
          <w:sz w:val="40"/>
        </w:rPr>
        <w:t>Academic Wellbeing in the Classroom</w:t>
      </w:r>
    </w:p>
    <w:p w14:paraId="3C8C2348"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Research-Informed Practices that Strengthen Learning, Rigor, and Faculty Sustainability</w:t>
      </w:r>
    </w:p>
    <w:p w14:paraId="67325C31"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Faculty across higher education are teaching in a student landscape that is meaningfully different from even a decade ago. Many students arrive with </w:t>
      </w:r>
      <w:r w:rsidRPr="00E63C26">
        <w:rPr>
          <w:rFonts w:ascii="Calibri" w:eastAsia="Times New Roman" w:hAnsi="Calibri" w:cs="Times New Roman"/>
          <w:b/>
          <w:bCs/>
          <w:kern w:val="0"/>
          <w14:ligatures w14:val="none"/>
          <w:sz w:val="22"/>
        </w:rPr>
        <w:t>highly variable academic preparation</w:t>
      </w:r>
      <w:r w:rsidRPr="00E63C26">
        <w:rPr>
          <w:rFonts w:ascii="Calibri" w:eastAsia="Times New Roman" w:hAnsi="Calibri" w:cs="Times New Roman"/>
          <w:kern w:val="0"/>
          <w14:ligatures w14:val="none"/>
          <w:sz w:val="22"/>
        </w:rPr>
        <w:t xml:space="preserve"> and increased rates of </w:t>
      </w:r>
      <w:r w:rsidRPr="00E63C26">
        <w:rPr>
          <w:rFonts w:ascii="Calibri" w:eastAsia="Times New Roman" w:hAnsi="Calibri" w:cs="Times New Roman"/>
          <w:b/>
          <w:bCs/>
          <w:kern w:val="0"/>
          <w14:ligatures w14:val="none"/>
          <w:sz w:val="22"/>
        </w:rPr>
        <w:t>neurodivergence</w:t>
      </w:r>
      <w:r w:rsidRPr="00E63C26">
        <w:rPr>
          <w:rFonts w:ascii="Calibri" w:eastAsia="Times New Roman" w:hAnsi="Calibri" w:cs="Times New Roman"/>
          <w:kern w:val="0"/>
          <w14:ligatures w14:val="none"/>
          <w:sz w:val="22"/>
        </w:rPr>
        <w:t xml:space="preserve"> (ADHD, autism, learning differences). Others navigate </w:t>
      </w:r>
      <w:r w:rsidRPr="00E63C26">
        <w:rPr>
          <w:rFonts w:ascii="Calibri" w:eastAsia="Times New Roman" w:hAnsi="Calibri" w:cs="Times New Roman"/>
          <w:b/>
          <w:bCs/>
          <w:kern w:val="0"/>
          <w14:ligatures w14:val="none"/>
          <w:sz w:val="22"/>
        </w:rPr>
        <w:t>executive functioning challenges</w:t>
      </w:r>
      <w:r w:rsidRPr="00E63C26">
        <w:rPr>
          <w:rFonts w:ascii="Calibri" w:eastAsia="Times New Roman" w:hAnsi="Calibri" w:cs="Times New Roman"/>
          <w:kern w:val="0"/>
          <w14:ligatures w14:val="none"/>
          <w:sz w:val="22"/>
        </w:rPr>
        <w:t xml:space="preserve">, </w:t>
      </w:r>
      <w:r w:rsidRPr="00E63C26">
        <w:rPr>
          <w:rFonts w:ascii="Calibri" w:eastAsia="Times New Roman" w:hAnsi="Calibri" w:cs="Times New Roman"/>
          <w:b/>
          <w:bCs/>
          <w:kern w:val="0"/>
          <w14:ligatures w14:val="none"/>
          <w:sz w:val="22"/>
        </w:rPr>
        <w:t>digital distraction</w:t>
      </w:r>
      <w:r w:rsidRPr="00E63C26">
        <w:rPr>
          <w:rFonts w:ascii="Calibri" w:eastAsia="Times New Roman" w:hAnsi="Calibri" w:cs="Times New Roman"/>
          <w:kern w:val="0"/>
          <w14:ligatures w14:val="none"/>
          <w:sz w:val="22"/>
        </w:rPr>
        <w:t xml:space="preserve"> that shapes attention, </w:t>
      </w:r>
      <w:r w:rsidRPr="00E63C26">
        <w:rPr>
          <w:rFonts w:ascii="Calibri" w:eastAsia="Times New Roman" w:hAnsi="Calibri" w:cs="Times New Roman"/>
          <w:b/>
          <w:bCs/>
          <w:kern w:val="0"/>
          <w14:ligatures w14:val="none"/>
          <w:sz w:val="22"/>
        </w:rPr>
        <w:t>significant responsibilities outside the classroom</w:t>
      </w:r>
      <w:r w:rsidRPr="00E63C26">
        <w:rPr>
          <w:rFonts w:ascii="Calibri" w:eastAsia="Times New Roman" w:hAnsi="Calibri" w:cs="Times New Roman"/>
          <w:kern w:val="0"/>
          <w14:ligatures w14:val="none"/>
          <w:sz w:val="22"/>
        </w:rPr>
        <w:t xml:space="preserve">, or </w:t>
      </w:r>
      <w:r w:rsidRPr="00E63C26">
        <w:rPr>
          <w:rFonts w:ascii="Calibri" w:eastAsia="Times New Roman" w:hAnsi="Calibri" w:cs="Times New Roman"/>
          <w:b/>
          <w:bCs/>
          <w:kern w:val="0"/>
          <w14:ligatures w14:val="none"/>
          <w:sz w:val="22"/>
        </w:rPr>
        <w:t>heightened mental health strain</w:t>
      </w:r>
      <w:r w:rsidRPr="00E63C26">
        <w:rPr>
          <w:rFonts w:ascii="Calibri" w:eastAsia="Times New Roman" w:hAnsi="Calibri" w:cs="Times New Roman"/>
          <w:kern w:val="0"/>
          <w14:ligatures w14:val="none"/>
          <w:sz w:val="22"/>
        </w:rPr>
        <w:t>. These realities can make learning more difficult and can also make teaching more demanding.</w:t>
      </w:r>
    </w:p>
    <w:p w14:paraId="1207B83E"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At the same time, faculty already devote extraordinary care, time, and expertise to supporting student learning. The practices outlined here are </w:t>
      </w:r>
      <w:r w:rsidRPr="00E63C26">
        <w:rPr>
          <w:rFonts w:ascii="Calibri" w:eastAsia="Times New Roman" w:hAnsi="Calibri" w:cs="Times New Roman"/>
          <w:b/>
          <w:bCs/>
          <w:kern w:val="0"/>
          <w14:ligatures w14:val="none"/>
          <w:sz w:val="22"/>
        </w:rPr>
        <w:t>not intended to add new responsibilities</w:t>
      </w:r>
      <w:r w:rsidRPr="00E63C26">
        <w:rPr>
          <w:rFonts w:ascii="Calibri" w:eastAsia="Times New Roman" w:hAnsi="Calibri" w:cs="Times New Roman"/>
          <w:kern w:val="0"/>
          <w14:ligatures w14:val="none"/>
          <w:sz w:val="22"/>
        </w:rPr>
        <w:t>. Instead, they highlight approaches that many faculty already use that can make teaching more sustainable while strengthening student engagement, persistence, and academic success.</w:t>
      </w:r>
    </w:p>
    <w:p w14:paraId="5A323DD3" w14:textId="610DC071"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The strategies below highlight five </w:t>
      </w:r>
      <w:r w:rsidRPr="00E63C26">
        <w:rPr>
          <w:rFonts w:ascii="Calibri" w:eastAsia="Times New Roman" w:hAnsi="Calibri" w:cs="Times New Roman"/>
          <w:b/>
          <w:bCs/>
          <w:kern w:val="0"/>
          <w14:ligatures w14:val="none"/>
          <w:sz w:val="22"/>
        </w:rPr>
        <w:t>research-informed practices</w:t>
      </w:r>
      <w:r w:rsidRPr="00E63C26">
        <w:rPr>
          <w:rFonts w:ascii="Calibri" w:eastAsia="Times New Roman" w:hAnsi="Calibri" w:cs="Times New Roman"/>
          <w:kern w:val="0"/>
          <w14:ligatures w14:val="none"/>
          <w:sz w:val="22"/>
        </w:rPr>
        <w:t xml:space="preserve"> that support </w:t>
      </w:r>
      <w:r w:rsidRPr="00E63C26">
        <w:rPr>
          <w:rFonts w:ascii="Calibri" w:eastAsia="Times New Roman" w:hAnsi="Calibri" w:cs="Times New Roman"/>
          <w:b/>
          <w:bCs/>
          <w:kern w:val="0"/>
          <w14:ligatures w14:val="none"/>
          <w:sz w:val="22"/>
        </w:rPr>
        <w:t>academic wellbeing</w:t>
      </w:r>
      <w:r w:rsidRPr="00E63C26">
        <w:rPr>
          <w:rFonts w:ascii="Calibri" w:eastAsia="Times New Roman" w:hAnsi="Calibri" w:cs="Times New Roman"/>
          <w:kern w:val="0"/>
          <w14:ligatures w14:val="none"/>
          <w:sz w:val="22"/>
        </w:rPr>
        <w:t xml:space="preserve"> while maintaining </w:t>
      </w:r>
      <w:r w:rsidRPr="00E63C26">
        <w:rPr>
          <w:rFonts w:ascii="Calibri" w:eastAsia="Times New Roman" w:hAnsi="Calibri" w:cs="Times New Roman"/>
          <w:b/>
          <w:bCs/>
          <w:kern w:val="0"/>
          <w14:ligatures w14:val="none"/>
          <w:sz w:val="22"/>
        </w:rPr>
        <w:t>strong academic standards</w:t>
      </w:r>
      <w:r w:rsidRPr="00E63C26">
        <w:rPr>
          <w:rFonts w:ascii="Calibri" w:eastAsia="Times New Roman" w:hAnsi="Calibri" w:cs="Times New Roman"/>
          <w:kern w:val="0"/>
          <w14:ligatures w14:val="none"/>
          <w:sz w:val="22"/>
        </w:rPr>
        <w:t xml:space="preserve"> and supporting </w:t>
      </w:r>
      <w:r w:rsidRPr="00E63C26">
        <w:rPr>
          <w:rFonts w:ascii="Calibri" w:eastAsia="Times New Roman" w:hAnsi="Calibri" w:cs="Times New Roman"/>
          <w:b/>
          <w:bCs/>
          <w:kern w:val="0"/>
          <w14:ligatures w14:val="none"/>
          <w:sz w:val="22"/>
        </w:rPr>
        <w:t>faculty sustainability</w:t>
      </w:r>
      <w:r w:rsidRPr="00E63C26">
        <w:rPr>
          <w:rFonts w:ascii="Calibri" w:eastAsia="Times New Roman" w:hAnsi="Calibri" w:cs="Times New Roman"/>
          <w:kern w:val="0"/>
          <w14:ligatures w14:val="none"/>
          <w:sz w:val="22"/>
        </w:rPr>
        <w:t xml:space="preserve">. This work </w:t>
      </w:r>
      <w:r>
        <w:rPr>
          <w:rFonts w:ascii="Calibri" w:eastAsia="Times New Roman" w:hAnsi="Calibri" w:cs="Times New Roman"/>
          <w:kern w:val="0"/>
          <w14:ligatures w14:val="none"/>
          <w:sz w:val="22"/>
        </w:rPr>
        <w:t xml:space="preserve">is </w:t>
      </w:r>
      <w:r w:rsidRPr="00E63C26">
        <w:rPr>
          <w:rFonts w:ascii="Calibri" w:eastAsia="Times New Roman" w:hAnsi="Calibri" w:cs="Times New Roman"/>
          <w:b/>
          <w:bCs/>
          <w:kern w:val="0"/>
          <w14:ligatures w14:val="none"/>
          <w:sz w:val="22"/>
        </w:rPr>
        <w:t>rooted in our Jesuit tradition</w:t>
      </w:r>
      <w:r>
        <w:rPr>
          <w:rFonts w:ascii="Calibri" w:eastAsia="Times New Roman" w:hAnsi="Calibri" w:cs="Times New Roman"/>
          <w:kern w:val="0"/>
          <w14:ligatures w14:val="none"/>
          <w:sz w:val="22"/>
        </w:rPr>
        <w:t xml:space="preserve"> and </w:t>
      </w:r>
      <w:r w:rsidRPr="00E63C26">
        <w:rPr>
          <w:rFonts w:ascii="Calibri" w:eastAsia="Times New Roman" w:hAnsi="Calibri" w:cs="Times New Roman"/>
          <w:kern w:val="0"/>
          <w14:ligatures w14:val="none"/>
          <w:sz w:val="22"/>
        </w:rPr>
        <w:t xml:space="preserve">reflects an </w:t>
      </w:r>
      <w:r w:rsidRPr="00E63C26">
        <w:rPr>
          <w:rFonts w:ascii="Calibri" w:eastAsia="Times New Roman" w:hAnsi="Calibri" w:cs="Times New Roman"/>
          <w:b/>
          <w:bCs/>
          <w:kern w:val="0"/>
          <w14:ligatures w14:val="none"/>
          <w:sz w:val="22"/>
        </w:rPr>
        <w:t>upstream approach</w:t>
      </w:r>
      <w:r w:rsidRPr="00E63C26">
        <w:rPr>
          <w:rFonts w:ascii="Calibri" w:eastAsia="Times New Roman" w:hAnsi="Calibri" w:cs="Times New Roman"/>
          <w:kern w:val="0"/>
          <w14:ligatures w14:val="none"/>
          <w:sz w:val="22"/>
        </w:rPr>
        <w:t>: designing courses that promote learning and wellbeing from the outset rather than reacting when problems emerge.</w:t>
      </w:r>
    </w:p>
    <w:p w14:paraId="547AA7C9"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DFC60F3">
          <v:rect id="_x0000_i1025" style="width:0;height:1.5pt" o:hralign="center" o:hrstd="t" o:hr="t" fillcolor="#a0a0a0" stroked="f"/>
        </w:pict>
      </w:r>
    </w:p>
    <w:p w14:paraId="0083A596" w14:textId="77777777" w:rsidR="00E63C26" w:rsidRPr="00E63C26" w:rsidRDefault="00E63C26" w:rsidP="00E63C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63C26">
        <w:rPr>
          <w:rFonts w:ascii="Calibri" w:eastAsia="Times New Roman" w:hAnsi="Calibri" w:cs="Times New Roman"/>
          <w:b/>
          <w:bCs/>
          <w:kern w:val="36"/>
          <w:sz w:val="22"/>
          <w:szCs w:val="48"/>
          <w14:ligatures w14:val="none"/>
        </w:rPr>
        <w:t>How to Use This Guide</w:t>
      </w:r>
    </w:p>
    <w:p w14:paraId="55741D9E"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This document is intended as a menu of options. Many faculty already use some of these approaches; others can be adapted to fit your teaching style, discipline, and course format. The goal is not uniformity, but thoughtful alignment between course design and student learning.</w:t>
      </w:r>
    </w:p>
    <w:p w14:paraId="62A12418" w14:textId="086047C1"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We also recognize that faculty enter learning spaces with </w:t>
      </w:r>
      <w:hyperlink r:id="rId5" w:history="1">
        <w:r w:rsidRPr="00E63C26">
          <w:rPr>
            <w:rStyle w:val="Hyperlink"/>
            <w:rFonts w:ascii="Times New Roman" w:eastAsia="Times New Roman" w:hAnsi="Times New Roman" w:cs="Times New Roman"/>
            <w:kern w:val="0"/>
            <w14:ligatures w14:val="none"/>
          </w:rPr>
          <w:t>varying degrees of authority and respect shaped by identity and context</w:t>
        </w:r>
      </w:hyperlink>
      <w:r w:rsidRPr="00E63C26">
        <w:rPr>
          <w:rFonts w:ascii="Calibri" w:eastAsia="Times New Roman" w:hAnsi="Calibri" w:cs="Times New Roman"/>
          <w:kern w:val="0"/>
          <w14:ligatures w14:val="none"/>
          <w:sz w:val="22"/>
        </w:rPr>
        <w:t>. Strategies should be adapted in ways that feel authentic, culturally responsive, and sustainable within your discipline.</w:t>
      </w:r>
      <w:r w:rsidR="00210A49">
        <w:rPr>
          <w:rFonts w:ascii="Calibri" w:eastAsia="Times New Roman" w:hAnsi="Calibri" w:cs="Times New Roman"/>
          <w:kern w:val="0"/>
          <w14:ligatures w14:val="none"/>
          <w:sz w:val="22"/>
        </w:rPr>
        <w:t xml:space="preserve"> </w:t>
      </w:r>
      <w:r w:rsidR="00210A49" w:rsidRPr="00210A49">
        <w:rPr>
          <w:rFonts w:ascii="Calibri" w:eastAsia="Times New Roman" w:hAnsi="Calibri" w:cs="Times New Roman"/>
          <w:kern w:val="0"/>
          <w14:ligatures w14:val="none"/>
          <w:sz w:val="22"/>
        </w:rPr>
        <w:t xml:space="preserve">The practices below move from </w:t>
      </w:r>
      <w:r w:rsidR="00210A49" w:rsidRPr="00210A49">
        <w:rPr>
          <w:rFonts w:ascii="Calibri" w:eastAsia="Times New Roman" w:hAnsi="Calibri" w:cs="Times New Roman"/>
          <w:b/>
          <w:bCs/>
          <w:kern w:val="0"/>
          <w14:ligatures w14:val="none"/>
          <w:sz w:val="22"/>
        </w:rPr>
        <w:t>foundational course design decisions</w:t>
      </w:r>
      <w:r w:rsidR="00210A49" w:rsidRPr="00210A49">
        <w:rPr>
          <w:rFonts w:ascii="Calibri" w:eastAsia="Times New Roman" w:hAnsi="Calibri" w:cs="Times New Roman"/>
          <w:kern w:val="0"/>
          <w14:ligatures w14:val="none"/>
          <w:sz w:val="22"/>
        </w:rPr>
        <w:t xml:space="preserve"> to </w:t>
      </w:r>
      <w:r w:rsidR="00210A49" w:rsidRPr="00210A49">
        <w:rPr>
          <w:rFonts w:ascii="Calibri" w:eastAsia="Times New Roman" w:hAnsi="Calibri" w:cs="Times New Roman"/>
          <w:b/>
          <w:bCs/>
          <w:kern w:val="0"/>
          <w14:ligatures w14:val="none"/>
          <w:sz w:val="22"/>
        </w:rPr>
        <w:t>learning strategies</w:t>
      </w:r>
      <w:r w:rsidR="00210A49" w:rsidRPr="00210A49">
        <w:rPr>
          <w:rFonts w:ascii="Calibri" w:eastAsia="Times New Roman" w:hAnsi="Calibri" w:cs="Times New Roman"/>
          <w:kern w:val="0"/>
          <w14:ligatures w14:val="none"/>
          <w:sz w:val="22"/>
        </w:rPr>
        <w:t xml:space="preserve"> and </w:t>
      </w:r>
      <w:r w:rsidR="00210A49" w:rsidRPr="00210A49">
        <w:rPr>
          <w:rFonts w:ascii="Calibri" w:eastAsia="Times New Roman" w:hAnsi="Calibri" w:cs="Times New Roman"/>
          <w:b/>
          <w:bCs/>
          <w:kern w:val="0"/>
          <w14:ligatures w14:val="none"/>
          <w:sz w:val="22"/>
        </w:rPr>
        <w:t>classroom climate</w:t>
      </w:r>
      <w:r w:rsidR="00210A49" w:rsidRPr="00210A49">
        <w:rPr>
          <w:rFonts w:ascii="Calibri" w:eastAsia="Times New Roman" w:hAnsi="Calibri" w:cs="Times New Roman"/>
          <w:kern w:val="0"/>
          <w14:ligatures w14:val="none"/>
          <w:sz w:val="22"/>
        </w:rPr>
        <w:t>.</w:t>
      </w:r>
    </w:p>
    <w:p w14:paraId="5AF28F06"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362044DC">
          <v:rect id="_x0000_i1026" style="width:0;height:1.5pt" o:hralign="center" o:hrstd="t" o:hr="t" fillcolor="#a0a0a0" stroked="f"/>
        </w:pict>
      </w:r>
    </w:p>
    <w:p w14:paraId="2665BF02" w14:textId="77777777" w:rsidR="00E63C26" w:rsidRPr="00E63C26" w:rsidRDefault="00E63C26" w:rsidP="00E63C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63C26">
        <w:rPr>
          <w:rFonts w:ascii="Calibri" w:eastAsia="Times New Roman" w:hAnsi="Calibri" w:cs="Times New Roman"/>
          <w:b/>
          <w:bCs/>
          <w:kern w:val="36"/>
          <w:sz w:val="22"/>
          <w:szCs w:val="48"/>
          <w14:ligatures w14:val="none"/>
        </w:rPr>
        <w:t>Five Research-Informed Practices</w:t>
      </w:r>
    </w:p>
    <w:p w14:paraId="285D83CC" w14:textId="77777777" w:rsidR="00E63C26" w:rsidRPr="00E63C26" w:rsidRDefault="00E63C26" w:rsidP="00E63C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3C26">
        <w:rPr>
          <w:rFonts w:ascii="Calibri" w:eastAsia="Times New Roman" w:hAnsi="Calibri" w:cs="Times New Roman"/>
          <w:b/>
          <w:bCs/>
          <w:kern w:val="0"/>
          <w:sz w:val="22"/>
          <w:szCs w:val="36"/>
          <w14:ligatures w14:val="none"/>
        </w:rPr>
        <w:t>1. Lead with Clarity</w:t>
      </w:r>
    </w:p>
    <w:p w14:paraId="2695FB4F"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lastRenderedPageBreak/>
        <w:t>Why it matters</w:t>
      </w:r>
    </w:p>
    <w:p w14:paraId="62D6C323"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Students often expend significant cognitive effort trying to interpret expectations rather than engaging deeply with course material. Clear expectations reduce unnecessary cognitive load and help students direct their effort toward learning. Clarity also allows faculty to maintain rigorous standards while making the path to success more transparent.</w:t>
      </w:r>
    </w:p>
    <w:p w14:paraId="640913D1"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Practical strategies</w:t>
      </w:r>
    </w:p>
    <w:p w14:paraId="4B4A2DAA"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Provide structured syllabi with clear calendars and major deadlines</w:t>
      </w:r>
    </w:p>
    <w:p w14:paraId="77C6AC72"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Clearly communicate weekly expectations</w:t>
      </w:r>
    </w:p>
    <w:p w14:paraId="1BD27B84"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Articulate late work and communication policies explicitly</w:t>
      </w:r>
    </w:p>
    <w:p w14:paraId="74D93238"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Share grading criteria and rubrics in advance</w:t>
      </w:r>
    </w:p>
    <w:p w14:paraId="4B68822F"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Share examples or models of strong work when possible</w:t>
      </w:r>
    </w:p>
    <w:p w14:paraId="03571806"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Explain the purpose behind assignments and policies</w:t>
      </w:r>
    </w:p>
    <w:p w14:paraId="3F415494" w14:textId="77777777" w:rsidR="00E63C26" w:rsidRPr="00E63C26" w:rsidRDefault="00E63C26" w:rsidP="00E63C2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Reinforce key concepts and expectations both verbally and in writing</w:t>
      </w:r>
    </w:p>
    <w:p w14:paraId="485686A9"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Common faculty concern</w:t>
      </w:r>
    </w:p>
    <w:p w14:paraId="3A78D384"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b/>
          <w:bCs/>
          <w:kern w:val="0"/>
          <w14:ligatures w14:val="none"/>
          <w:sz w:val="22"/>
        </w:rPr>
        <w:t>Does increased clarity reduce rigor?</w:t>
      </w:r>
    </w:p>
    <w:p w14:paraId="48574BCA"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Research suggests the opposite. Clear expectations allow faculty to maintain high standards while ensuring that students understand what strong work requires.</w:t>
      </w:r>
    </w:p>
    <w:p w14:paraId="5803603E"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0EFE8C0F">
          <v:rect id="_x0000_i1027" style="width:0;height:1.5pt" o:hralign="center" o:hrstd="t" o:hr="t" fillcolor="#a0a0a0" stroked="f"/>
        </w:pict>
      </w:r>
    </w:p>
    <w:p w14:paraId="14901EE4" w14:textId="77777777" w:rsidR="00E63C26" w:rsidRPr="00E63C26" w:rsidRDefault="00E63C26" w:rsidP="00E63C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3C26">
        <w:rPr>
          <w:rFonts w:ascii="Calibri" w:eastAsia="Times New Roman" w:hAnsi="Calibri" w:cs="Times New Roman"/>
          <w:b/>
          <w:bCs/>
          <w:kern w:val="0"/>
          <w:sz w:val="22"/>
          <w:szCs w:val="36"/>
          <w14:ligatures w14:val="none"/>
        </w:rPr>
        <w:t>2. Build Flexibility into Structure</w:t>
      </w:r>
    </w:p>
    <w:p w14:paraId="77FDC7AC"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Why it matters</w:t>
      </w:r>
    </w:p>
    <w:p w14:paraId="5DE21030"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Students today often navigate multiple competing demands, including employment, caregiving responsibilities, and health concerns. Thoughtful flexibility can help students remain engaged during challenging periods without compromising course expectations.</w:t>
      </w:r>
    </w:p>
    <w:p w14:paraId="4493E145"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Flexibility works best when it is built into course design in advance rather than negotiated individually during moments of stress.</w:t>
      </w:r>
    </w:p>
    <w:p w14:paraId="7835FA1E"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Practical strategies</w:t>
      </w:r>
    </w:p>
    <w:p w14:paraId="49C939DF" w14:textId="77777777" w:rsidR="00E63C26" w:rsidRPr="00E63C26" w:rsidRDefault="00E63C26" w:rsidP="00E63C2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Offer a small number of automatic deadline extensions or “grace days”</w:t>
      </w:r>
    </w:p>
    <w:p w14:paraId="47BE0C48" w14:textId="77777777" w:rsidR="00E63C26" w:rsidRPr="00E63C26" w:rsidRDefault="00E63C26" w:rsidP="00E63C2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Drop the lowest quiz or assignment</w:t>
      </w:r>
    </w:p>
    <w:p w14:paraId="60EA120D" w14:textId="77777777" w:rsidR="00E63C26" w:rsidRPr="00E63C26" w:rsidRDefault="00E63C26" w:rsidP="00E63C2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Provide flexible deadline windows rather than a single timestamp</w:t>
      </w:r>
    </w:p>
    <w:p w14:paraId="0EC36C25" w14:textId="77777777" w:rsidR="00E63C26" w:rsidRPr="00E63C26" w:rsidRDefault="00E63C26" w:rsidP="00E63C2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Offer limited opportunities for revision or reassessment</w:t>
      </w:r>
    </w:p>
    <w:p w14:paraId="7A187EBC" w14:textId="77777777" w:rsidR="00E63C26" w:rsidRPr="00E63C26" w:rsidRDefault="00E63C26" w:rsidP="00E63C2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Incorporate low-stakes practice before high-stakes assessments</w:t>
      </w:r>
    </w:p>
    <w:p w14:paraId="18C2F473"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lastRenderedPageBreak/>
        <w:t>Common faculty concern</w:t>
      </w:r>
    </w:p>
    <w:p w14:paraId="0A28A6E3"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b/>
          <w:bCs/>
          <w:kern w:val="0"/>
          <w14:ligatures w14:val="none"/>
          <w:sz w:val="22"/>
        </w:rPr>
        <w:t>Will flexibility encourage students to procrastinate?</w:t>
      </w:r>
    </w:p>
    <w:p w14:paraId="54971467"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When flexibility is structured and limited, it typically reduces last-minute crises rather than increasing them. Clear policies also reduce the need for individual negotiations. Flexibility within structure mirrors real-world professional expectations.</w:t>
      </w:r>
    </w:p>
    <w:p w14:paraId="42F68743"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64FD0A6">
          <v:rect id="_x0000_i1028" style="width:0;height:1.5pt" o:hralign="center" o:hrstd="t" o:hr="t" fillcolor="#a0a0a0" stroked="f"/>
        </w:pict>
      </w:r>
    </w:p>
    <w:p w14:paraId="06AFF900" w14:textId="77777777" w:rsidR="00E63C26" w:rsidRPr="00E63C26" w:rsidRDefault="00E63C26" w:rsidP="00E63C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3C26">
        <w:rPr>
          <w:rFonts w:ascii="Calibri" w:eastAsia="Times New Roman" w:hAnsi="Calibri" w:cs="Times New Roman"/>
          <w:b/>
          <w:bCs/>
          <w:kern w:val="0"/>
          <w:sz w:val="22"/>
          <w:szCs w:val="36"/>
          <w14:ligatures w14:val="none"/>
        </w:rPr>
        <w:t>3. Design for Engagement and Access (UDL in Practice)</w:t>
      </w:r>
    </w:p>
    <w:p w14:paraId="27F01871" w14:textId="44CA7046"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Universal Design for Learning encourages designing courses that are accessible from the outset</w:t>
      </w:r>
      <w:r>
        <w:rPr>
          <w:rFonts w:ascii="Calibri" w:eastAsia="Times New Roman" w:hAnsi="Calibri" w:cs="Times New Roman"/>
          <w:kern w:val="0"/>
          <w14:ligatures w14:val="none"/>
          <w:sz w:val="22"/>
        </w:rPr>
        <w:t xml:space="preserve">, </w:t>
      </w:r>
      <w:r w:rsidRPr="00E63C26">
        <w:rPr>
          <w:rFonts w:ascii="Calibri" w:eastAsia="Times New Roman" w:hAnsi="Calibri" w:cs="Times New Roman"/>
          <w:kern w:val="0"/>
          <w14:ligatures w14:val="none"/>
          <w:sz w:val="22"/>
        </w:rPr>
        <w:t>not as retroactive accommodation, but as sound pedagogy.</w:t>
      </w:r>
    </w:p>
    <w:p w14:paraId="40E67DAB"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Why it matters</w:t>
      </w:r>
    </w:p>
    <w:p w14:paraId="656FE20F"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Courses designed with accessibility in mind reduce barriers to participation and learning. Many strategies that support neurodivergent students also improve learning for all students.</w:t>
      </w:r>
    </w:p>
    <w:p w14:paraId="10404A98"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Practical strategies</w:t>
      </w:r>
    </w:p>
    <w:p w14:paraId="0D7A6756"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Share slides or outlines in advance</w:t>
      </w:r>
    </w:p>
    <w:p w14:paraId="2BDB17F9" w14:textId="3DC4235B"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t>Provide both</w:t>
      </w:r>
      <w:r w:rsidRPr="00E63C26">
        <w:rPr>
          <w:rFonts w:ascii="Calibri" w:eastAsia="Times New Roman" w:hAnsi="Calibri" w:cs="Times New Roman"/>
          <w:kern w:val="0"/>
          <w14:ligatures w14:val="none"/>
          <w:sz w:val="22"/>
        </w:rPr>
        <w:t xml:space="preserve"> verbal and written instructions</w:t>
      </w:r>
    </w:p>
    <w:p w14:paraId="0F337B1C"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Chunk complex assignments into milestones</w:t>
      </w:r>
    </w:p>
    <w:p w14:paraId="450697DF"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Provide processing time before discussion</w:t>
      </w:r>
    </w:p>
    <w:p w14:paraId="28FD106B"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Offer appropriate choice in how students demonstrate learning</w:t>
      </w:r>
    </w:p>
    <w:p w14:paraId="0F6B9A83"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Build reflection or metacognitive prompts into assignments</w:t>
      </w:r>
    </w:p>
    <w:p w14:paraId="2E134B90"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Provide regular, actionable feedback</w:t>
      </w:r>
    </w:p>
    <w:p w14:paraId="3546A117" w14:textId="77777777" w:rsidR="00E63C26" w:rsidRPr="00E63C26" w:rsidRDefault="00E63C26" w:rsidP="00E63C2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Ensure slides, handouts, and media are accessible (clear contrast, readable fonts, captioning when possible)</w:t>
      </w:r>
    </w:p>
    <w:p w14:paraId="38D9430D" w14:textId="77777777" w:rsidR="00210A49" w:rsidRPr="00210A49" w:rsidRDefault="00210A49" w:rsidP="00210A4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0A49">
        <w:rPr>
          <w:rFonts w:ascii="Calibri" w:eastAsia="Times New Roman" w:hAnsi="Calibri" w:cs="Times New Roman"/>
          <w:b/>
          <w:bCs/>
          <w:kern w:val="0"/>
          <w:sz w:val="22"/>
          <w:szCs w:val="27"/>
          <w14:ligatures w14:val="none"/>
        </w:rPr>
        <w:t>Common faculty concern</w:t>
      </w:r>
    </w:p>
    <w:p w14:paraId="01EE254A" w14:textId="77777777" w:rsidR="00210A49" w:rsidRPr="00210A49" w:rsidRDefault="00210A49" w:rsidP="00210A49">
      <w:pPr>
        <w:spacing w:before="100" w:beforeAutospacing="1" w:after="100" w:afterAutospacing="1" w:line="240" w:lineRule="auto"/>
        <w:rPr>
          <w:rFonts w:ascii="Times New Roman" w:eastAsia="Times New Roman" w:hAnsi="Times New Roman" w:cs="Times New Roman"/>
          <w:kern w:val="0"/>
          <w14:ligatures w14:val="none"/>
        </w:rPr>
      </w:pPr>
      <w:r w:rsidRPr="00210A49">
        <w:rPr>
          <w:rFonts w:ascii="Calibri" w:eastAsia="Times New Roman" w:hAnsi="Calibri" w:cs="Times New Roman"/>
          <w:b/>
          <w:bCs/>
          <w:kern w:val="0"/>
          <w14:ligatures w14:val="none"/>
          <w:sz w:val="22"/>
        </w:rPr>
        <w:t>Does designing for accessibility lower academic standards?</w:t>
      </w:r>
    </w:p>
    <w:p w14:paraId="28193A03" w14:textId="77777777" w:rsidR="00210A49" w:rsidRPr="00210A49" w:rsidRDefault="00210A49" w:rsidP="00210A49">
      <w:pPr>
        <w:spacing w:before="100" w:beforeAutospacing="1" w:after="100" w:afterAutospacing="1" w:line="240" w:lineRule="auto"/>
        <w:rPr>
          <w:rFonts w:ascii="Times New Roman" w:eastAsia="Times New Roman" w:hAnsi="Times New Roman" w:cs="Times New Roman"/>
          <w:kern w:val="0"/>
          <w14:ligatures w14:val="none"/>
        </w:rPr>
      </w:pPr>
      <w:r w:rsidRPr="00210A49">
        <w:rPr>
          <w:rFonts w:ascii="Calibri" w:eastAsia="Times New Roman" w:hAnsi="Calibri" w:cs="Times New Roman"/>
          <w:kern w:val="0"/>
          <w14:ligatures w14:val="none"/>
          <w:sz w:val="22"/>
        </w:rPr>
        <w:t>Universal Design for Learning focuses on reducing unnecessary barriers to learning while maintaining the same intellectual expectations. Students may engage with material or demonstrate learning in different ways, but the core academic standards and learning outcomes remain the same.</w:t>
      </w:r>
    </w:p>
    <w:p w14:paraId="70F8B318"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4F0448CB">
          <v:rect id="_x0000_i1029" style="width:0;height:1.5pt" o:hralign="center" o:hrstd="t" o:hr="t" fillcolor="#a0a0a0" stroked="f"/>
        </w:pict>
      </w:r>
    </w:p>
    <w:p w14:paraId="0FFBA4B8" w14:textId="77777777" w:rsidR="00E63C26" w:rsidRPr="00E63C26" w:rsidRDefault="00E63C26" w:rsidP="00E63C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3C26">
        <w:rPr>
          <w:rFonts w:ascii="Calibri" w:eastAsia="Times New Roman" w:hAnsi="Calibri" w:cs="Times New Roman"/>
          <w:b/>
          <w:bCs/>
          <w:kern w:val="0"/>
          <w:sz w:val="22"/>
          <w:szCs w:val="36"/>
          <w14:ligatures w14:val="none"/>
        </w:rPr>
        <w:lastRenderedPageBreak/>
        <w:t>4. Teach Executive Functioning and Metacognition Explicitly</w:t>
      </w:r>
    </w:p>
    <w:p w14:paraId="43EAEA34"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Many students have not been directly taught the learning strategies that higher education assumes they possess.</w:t>
      </w:r>
    </w:p>
    <w:p w14:paraId="2627B20C"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Why it matters</w:t>
      </w:r>
    </w:p>
    <w:p w14:paraId="5BE63213"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Helping students develop planning, reflection, and learning strategies improves persistence and performance across disciplines.</w:t>
      </w:r>
    </w:p>
    <w:p w14:paraId="291BFA31"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Practical strategies</w:t>
      </w:r>
    </w:p>
    <w:p w14:paraId="3159E3DF"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Narrate expert thinking when solving problems</w:t>
      </w:r>
    </w:p>
    <w:p w14:paraId="6087B315"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Model how to plan, revise, and break down complex tasks</w:t>
      </w:r>
    </w:p>
    <w:p w14:paraId="50EE1AFF"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Use drafts, checkpoints, and scaffolding for major assignments</w:t>
      </w:r>
    </w:p>
    <w:p w14:paraId="598E97D4"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Incorporate brief reflection prompts (e.g., “What strategy did you use?”)</w:t>
      </w:r>
    </w:p>
    <w:p w14:paraId="4E638F22"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Model backward planning before major assignments</w:t>
      </w:r>
    </w:p>
    <w:p w14:paraId="5C76F380" w14:textId="77777777" w:rsidR="00E63C26" w:rsidRPr="00E63C26" w:rsidRDefault="00E63C26" w:rsidP="00E63C2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Encourage growth-oriented language about learning challenges</w:t>
      </w:r>
    </w:p>
    <w:p w14:paraId="717BAE76"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A note on AI</w:t>
      </w:r>
    </w:p>
    <w:p w14:paraId="30E0D449"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Students now have widespread access to AI tools, and purely punitive responses are rarely effective. Productive strategies include:</w:t>
      </w:r>
    </w:p>
    <w:p w14:paraId="3C3CD241" w14:textId="77777777" w:rsidR="00E63C26" w:rsidRPr="00E63C26" w:rsidRDefault="00E63C26" w:rsidP="00E63C2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Designing assignments that emphasize process, reflection, and application</w:t>
      </w:r>
    </w:p>
    <w:p w14:paraId="045AEA5F" w14:textId="77777777" w:rsidR="00E63C26" w:rsidRPr="00E63C26" w:rsidRDefault="00E63C26" w:rsidP="00E63C2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Using drafts and checkpoints</w:t>
      </w:r>
    </w:p>
    <w:p w14:paraId="2EDE016D" w14:textId="77777777" w:rsidR="00E63C26" w:rsidRPr="00E63C26" w:rsidRDefault="00E63C26" w:rsidP="00E63C2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Teaching ethical and transparent AI use</w:t>
      </w:r>
    </w:p>
    <w:p w14:paraId="48A348EC" w14:textId="5D2E722E" w:rsidR="00210A49" w:rsidRDefault="00E63C26" w:rsidP="00210A49">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Assessing thinking, not just the final product</w:t>
      </w:r>
    </w:p>
    <w:p w14:paraId="73191892" w14:textId="77777777" w:rsidR="00210A49" w:rsidRPr="00210A49" w:rsidRDefault="00210A49" w:rsidP="00210A4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10A49">
        <w:rPr>
          <w:rFonts w:ascii="Calibri" w:eastAsia="Times New Roman" w:hAnsi="Calibri" w:cs="Times New Roman"/>
          <w:b/>
          <w:bCs/>
          <w:kern w:val="0"/>
          <w:sz w:val="22"/>
          <w:szCs w:val="27"/>
          <w14:ligatures w14:val="none"/>
        </w:rPr>
        <w:t>Common faculty concern</w:t>
      </w:r>
    </w:p>
    <w:p w14:paraId="24D08922" w14:textId="77777777" w:rsidR="00210A49" w:rsidRPr="00210A49" w:rsidRDefault="00210A49" w:rsidP="00210A49">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210A49">
        <w:rPr>
          <w:rFonts w:ascii="Calibri" w:eastAsia="Times New Roman" w:hAnsi="Calibri" w:cs="Times New Roman"/>
          <w:b/>
          <w:bCs/>
          <w:kern w:val="0"/>
          <w14:ligatures w14:val="none"/>
          <w:sz w:val="22"/>
        </w:rPr>
        <w:t>Is</w:t>
      </w:r>
      <w:proofErr w:type="gramEnd"/>
      <w:r w:rsidRPr="00210A49">
        <w:rPr>
          <w:rFonts w:ascii="Calibri" w:eastAsia="Times New Roman" w:hAnsi="Calibri" w:cs="Times New Roman"/>
          <w:b/>
          <w:bCs/>
          <w:kern w:val="0"/>
          <w14:ligatures w14:val="none"/>
          <w:sz w:val="22"/>
        </w:rPr>
        <w:t xml:space="preserve"> teaching learning strategies the responsibility of the instructor?</w:t>
      </w:r>
    </w:p>
    <w:p w14:paraId="6F29ACFF" w14:textId="77777777" w:rsidR="00210A49" w:rsidRPr="00210A49" w:rsidRDefault="00210A49" w:rsidP="00210A49">
      <w:pPr>
        <w:spacing w:before="100" w:beforeAutospacing="1" w:after="100" w:afterAutospacing="1" w:line="240" w:lineRule="auto"/>
        <w:rPr>
          <w:rFonts w:ascii="Times New Roman" w:eastAsia="Times New Roman" w:hAnsi="Times New Roman" w:cs="Times New Roman"/>
          <w:kern w:val="0"/>
          <w14:ligatures w14:val="none"/>
        </w:rPr>
      </w:pPr>
      <w:r w:rsidRPr="00210A49">
        <w:rPr>
          <w:rFonts w:ascii="Calibri" w:eastAsia="Times New Roman" w:hAnsi="Calibri" w:cs="Times New Roman"/>
          <w:kern w:val="0"/>
          <w14:ligatures w14:val="none"/>
          <w:sz w:val="22"/>
        </w:rPr>
        <w:t>Students often arrive with uneven preparation in areas such as planning, studying, and managing complex assignments. Briefly modeling how experts approach problems or structure their work can strengthen learning while requiring minimal additional class time.</w:t>
      </w:r>
    </w:p>
    <w:p w14:paraId="372B8AFF"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72698170">
          <v:rect id="_x0000_i1030" style="width:0;height:1.5pt" o:hralign="center" o:hrstd="t" o:hr="t" fillcolor="#a0a0a0" stroked="f"/>
        </w:pict>
      </w:r>
    </w:p>
    <w:p w14:paraId="1C802750" w14:textId="77777777" w:rsidR="00E63C26" w:rsidRPr="00E63C26" w:rsidRDefault="00E63C26" w:rsidP="00E63C2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63C26">
        <w:rPr>
          <w:rFonts w:ascii="Calibri" w:eastAsia="Times New Roman" w:hAnsi="Calibri" w:cs="Times New Roman"/>
          <w:b/>
          <w:bCs/>
          <w:kern w:val="0"/>
          <w:sz w:val="22"/>
          <w:szCs w:val="36"/>
          <w14:ligatures w14:val="none"/>
        </w:rPr>
        <w:t>5. Foster Connection and Belonging</w:t>
      </w:r>
    </w:p>
    <w:p w14:paraId="7B70F742"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Why it matters</w:t>
      </w:r>
    </w:p>
    <w:p w14:paraId="37CA9EF4"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lastRenderedPageBreak/>
        <w:t>Students are more likely to persist and engage deeply when they feel that they belong in the academic environment. Even small signals of inclusion and respect can shape motivation, participation, and willingness to take intellectual risks.</w:t>
      </w:r>
    </w:p>
    <w:p w14:paraId="7340D9C5"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Research in higher education consistently links sense of belonging with improved academic engagement and persistence.</w:t>
      </w:r>
    </w:p>
    <w:p w14:paraId="19EF4052"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Practical strategies</w:t>
      </w:r>
    </w:p>
    <w:p w14:paraId="0A83570B"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Learn and use student names when possible (e.g., name tents)</w:t>
      </w:r>
    </w:p>
    <w:p w14:paraId="6BAEFEE2"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Normalize early help-seeking and frame office hours as proactive support (e.g., “student hours” or “consultation hours”)</w:t>
      </w:r>
    </w:p>
    <w:p w14:paraId="337525A7"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Conduct brief mid-term check-ins or feedback surveys</w:t>
      </w:r>
    </w:p>
    <w:p w14:paraId="303253C2"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Organize students into small recurring discussion groups</w:t>
      </w:r>
    </w:p>
    <w:p w14:paraId="15C3F606"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Reach out briefly when patterns of absence or disengagement emerge</w:t>
      </w:r>
    </w:p>
    <w:p w14:paraId="19C1EEAB"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Humanize your teaching presence by sharing appropriate personal context and demonstrating enthusiasm for </w:t>
      </w:r>
      <w:proofErr w:type="gramStart"/>
      <w:r w:rsidRPr="00E63C26">
        <w:rPr>
          <w:rFonts w:ascii="Calibri" w:eastAsia="Times New Roman" w:hAnsi="Calibri" w:cs="Times New Roman"/>
          <w:kern w:val="0"/>
          <w14:ligatures w14:val="none"/>
          <w:sz w:val="22"/>
        </w:rPr>
        <w:t>the discipline</w:t>
      </w:r>
      <w:proofErr w:type="gramEnd"/>
    </w:p>
    <w:p w14:paraId="3FEDC939"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Invite multiple perspectives into classroom dialogue</w:t>
      </w:r>
    </w:p>
    <w:p w14:paraId="204D64E7" w14:textId="77777777" w:rsidR="00E63C26" w:rsidRPr="00E63C26" w:rsidRDefault="00E63C26" w:rsidP="00E63C2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Use brief structured pauses or movement breaks in longer classes</w:t>
      </w:r>
    </w:p>
    <w:p w14:paraId="5424B98C" w14:textId="0C3AA341" w:rsidR="00E63C26" w:rsidRPr="00E63C26" w:rsidRDefault="00210A49" w:rsidP="00E63C26">
      <w:pPr>
        <w:spacing w:before="100" w:beforeAutospacing="1" w:after="100" w:afterAutospacing="1"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t xml:space="preserve">An important note: </w:t>
      </w:r>
      <w:r w:rsidR="00E63C26" w:rsidRPr="00E63C26">
        <w:rPr>
          <w:rFonts w:ascii="Calibri" w:eastAsia="Times New Roman" w:hAnsi="Calibri" w:cs="Times New Roman"/>
          <w:kern w:val="0"/>
          <w14:ligatures w14:val="none"/>
          <w:sz w:val="22"/>
        </w:rPr>
        <w:t xml:space="preserve">Shifting from purely </w:t>
      </w:r>
      <w:r w:rsidR="00E63C26" w:rsidRPr="00E63C26">
        <w:rPr>
          <w:rFonts w:ascii="Calibri" w:eastAsia="Times New Roman" w:hAnsi="Calibri" w:cs="Times New Roman"/>
          <w:b/>
          <w:bCs/>
          <w:kern w:val="0"/>
          <w14:ligatures w14:val="none"/>
          <w:sz w:val="22"/>
        </w:rPr>
        <w:t>attendance-based</w:t>
      </w:r>
      <w:r w:rsidR="00E63C26" w:rsidRPr="00E63C26">
        <w:rPr>
          <w:rFonts w:ascii="Calibri" w:eastAsia="Times New Roman" w:hAnsi="Calibri" w:cs="Times New Roman"/>
          <w:kern w:val="0"/>
          <w14:ligatures w14:val="none"/>
          <w:sz w:val="22"/>
        </w:rPr>
        <w:t xml:space="preserve"> expectations </w:t>
      </w:r>
      <w:r w:rsidR="00E63C26" w:rsidRPr="00E63C26">
        <w:rPr>
          <w:rFonts w:ascii="Calibri" w:eastAsia="Times New Roman" w:hAnsi="Calibri" w:cs="Times New Roman"/>
          <w:b/>
          <w:bCs/>
          <w:kern w:val="0"/>
          <w14:ligatures w14:val="none"/>
          <w:sz w:val="22"/>
        </w:rPr>
        <w:t>to engagement-based expectations</w:t>
      </w:r>
      <w:r w:rsidR="00E63C26" w:rsidRPr="00E63C26">
        <w:rPr>
          <w:rFonts w:ascii="Calibri" w:eastAsia="Times New Roman" w:hAnsi="Calibri" w:cs="Times New Roman"/>
          <w:kern w:val="0"/>
          <w14:ligatures w14:val="none"/>
          <w:sz w:val="22"/>
        </w:rPr>
        <w:t xml:space="preserve"> can clarify why presence matters in your discipline while maintaining accountability</w:t>
      </w:r>
      <w:r>
        <w:rPr>
          <w:rFonts w:ascii="Calibri" w:eastAsia="Times New Roman" w:hAnsi="Calibri" w:cs="Times New Roman"/>
          <w:kern w:val="0"/>
          <w14:ligatures w14:val="none"/>
          <w:sz w:val="22"/>
        </w:rPr>
        <w:t xml:space="preserve"> and can greatly reduce student attempts to negotiate excused absences.</w:t>
      </w:r>
    </w:p>
    <w:p w14:paraId="340E3EC4" w14:textId="77777777" w:rsidR="00E63C26" w:rsidRPr="00E63C26" w:rsidRDefault="00E63C26" w:rsidP="00E63C2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3C26">
        <w:rPr>
          <w:rFonts w:ascii="Calibri" w:eastAsia="Times New Roman" w:hAnsi="Calibri" w:cs="Times New Roman"/>
          <w:b/>
          <w:bCs/>
          <w:kern w:val="0"/>
          <w:sz w:val="22"/>
          <w:szCs w:val="27"/>
          <w14:ligatures w14:val="none"/>
        </w:rPr>
        <w:t>Common faculty concern</w:t>
      </w:r>
    </w:p>
    <w:p w14:paraId="218AA51F"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b/>
          <w:bCs/>
          <w:kern w:val="0"/>
          <w14:ligatures w14:val="none"/>
          <w:sz w:val="22"/>
        </w:rPr>
        <w:t>Does focusing on belonging dilute academic focus?</w:t>
      </w:r>
    </w:p>
    <w:p w14:paraId="5EED476A"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Creating an environment where students feel respected and included typically strengthens intellectual engagement and leads to deeper academic discussion.</w:t>
      </w:r>
    </w:p>
    <w:p w14:paraId="4FD98D57"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497A2E4">
          <v:rect id="_x0000_i1031" style="width:0;height:1.5pt" o:hralign="center" o:hrstd="t" o:hr="t" fillcolor="#a0a0a0" stroked="f"/>
        </w:pict>
      </w:r>
    </w:p>
    <w:p w14:paraId="681028A8" w14:textId="77777777" w:rsidR="00E63C26" w:rsidRPr="00E63C26" w:rsidRDefault="00E63C26" w:rsidP="00E63C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63C26">
        <w:rPr>
          <w:rFonts w:ascii="Calibri" w:eastAsia="Times New Roman" w:hAnsi="Calibri" w:cs="Times New Roman"/>
          <w:b/>
          <w:bCs/>
          <w:kern w:val="36"/>
          <w:sz w:val="22"/>
          <w:szCs w:val="48"/>
          <w14:ligatures w14:val="none"/>
        </w:rPr>
        <w:t>Quick Wins</w:t>
      </w:r>
    </w:p>
    <w:p w14:paraId="4EF49E01"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If you only make three changes:</w:t>
      </w:r>
    </w:p>
    <w:p w14:paraId="195E7890" w14:textId="77777777" w:rsidR="00E63C26" w:rsidRPr="00E63C26" w:rsidRDefault="00E63C26" w:rsidP="00E63C2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Add a small number of structured grace days</w:t>
      </w:r>
    </w:p>
    <w:p w14:paraId="5843EAE0" w14:textId="77777777" w:rsidR="00E63C26" w:rsidRPr="00E63C26" w:rsidRDefault="00E63C26" w:rsidP="00E63C2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Scaffold one complex assignment with a draft or milestone</w:t>
      </w:r>
    </w:p>
    <w:p w14:paraId="409686EA" w14:textId="77777777" w:rsidR="00E63C26" w:rsidRPr="00E63C26" w:rsidRDefault="00E63C26" w:rsidP="00E63C2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Reach out when you notice patterns of disengagement</w:t>
      </w:r>
    </w:p>
    <w:p w14:paraId="69C29C4B"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If additional capacity allows:</w:t>
      </w:r>
    </w:p>
    <w:p w14:paraId="69F2C88D" w14:textId="77777777" w:rsidR="00E63C26" w:rsidRPr="00E63C26" w:rsidRDefault="00E63C26" w:rsidP="00E63C2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Share materials in advance</w:t>
      </w:r>
    </w:p>
    <w:p w14:paraId="2204CB3A" w14:textId="77777777" w:rsidR="00E63C26" w:rsidRPr="00E63C26" w:rsidRDefault="00E63C26" w:rsidP="00E63C2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Replace one high-stakes assessment with progressive components</w:t>
      </w:r>
    </w:p>
    <w:p w14:paraId="2CF5292B" w14:textId="77777777" w:rsidR="00E63C26" w:rsidRPr="00E63C26" w:rsidRDefault="00E63C26" w:rsidP="00E63C2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lastRenderedPageBreak/>
        <w:t>Incorporate one metacognitive reflection per month</w:t>
      </w:r>
    </w:p>
    <w:p w14:paraId="543919D5"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Small shifts compound over time.</w:t>
      </w:r>
    </w:p>
    <w:p w14:paraId="2DA0D799"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5850F2BF">
          <v:rect id="_x0000_i1032" style="width:0;height:1.5pt" o:hralign="center" o:hrstd="t" o:hr="t" fillcolor="#a0a0a0" stroked="f"/>
        </w:pict>
      </w:r>
    </w:p>
    <w:p w14:paraId="0E7BCC8C" w14:textId="77777777" w:rsidR="00E63C26" w:rsidRPr="00E63C26" w:rsidRDefault="00E63C26" w:rsidP="00E63C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63C26">
        <w:rPr>
          <w:rFonts w:ascii="Calibri" w:eastAsia="Times New Roman" w:hAnsi="Calibri" w:cs="Times New Roman"/>
          <w:b/>
          <w:bCs/>
          <w:kern w:val="36"/>
          <w:sz w:val="22"/>
          <w:szCs w:val="48"/>
          <w14:ligatures w14:val="none"/>
        </w:rPr>
        <w:t>Institutional Alignment and Faculty Sustainability: Rigor with Humanity</w:t>
      </w:r>
    </w:p>
    <w:p w14:paraId="3E62C0AB"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This work reflects our broader institutional mission. In our classrooms, students are not only learning disciplinary knowledge but also developing habits of learning, reflection, and resilience.</w:t>
      </w:r>
    </w:p>
    <w:p w14:paraId="6D864798"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Promoting academic wellbeing shifts the focus from reacting to problems toward designing course systems that support learning from the outset. This includes asking how we promote resilience, reduce unnecessary friction while preserving rigor, and partner with students in shaping a culture of learning.</w:t>
      </w:r>
    </w:p>
    <w:p w14:paraId="53758C80"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These practices are not intended to add “one more thing.” When implemented intentionally, </w:t>
      </w:r>
      <w:proofErr w:type="gramStart"/>
      <w:r w:rsidRPr="00E63C26">
        <w:rPr>
          <w:rFonts w:ascii="Calibri" w:eastAsia="Times New Roman" w:hAnsi="Calibri" w:cs="Times New Roman"/>
          <w:kern w:val="0"/>
          <w14:ligatures w14:val="none"/>
          <w:sz w:val="22"/>
        </w:rPr>
        <w:t>they</w:t>
      </w:r>
      <w:proofErr w:type="gramEnd"/>
      <w:r w:rsidRPr="00E63C26">
        <w:rPr>
          <w:rFonts w:ascii="Calibri" w:eastAsia="Times New Roman" w:hAnsi="Calibri" w:cs="Times New Roman"/>
          <w:kern w:val="0"/>
          <w14:ligatures w14:val="none"/>
          <w:sz w:val="22"/>
        </w:rPr>
        <w:t xml:space="preserve"> often:</w:t>
      </w:r>
    </w:p>
    <w:p w14:paraId="5F9BF51F" w14:textId="77777777" w:rsidR="00E63C26" w:rsidRPr="00E63C26" w:rsidRDefault="00E63C26" w:rsidP="00E63C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Reduce repetitive exception handling</w:t>
      </w:r>
    </w:p>
    <w:p w14:paraId="7D17924E" w14:textId="77777777" w:rsidR="00E63C26" w:rsidRPr="00E63C26" w:rsidRDefault="00E63C26" w:rsidP="00E63C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Decrease crisis management</w:t>
      </w:r>
    </w:p>
    <w:p w14:paraId="0C54B7B2" w14:textId="77777777" w:rsidR="00E63C26" w:rsidRPr="00E63C26" w:rsidRDefault="00E63C26" w:rsidP="00E63C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Clarify expectations</w:t>
      </w:r>
    </w:p>
    <w:p w14:paraId="2917D6CC" w14:textId="77777777" w:rsidR="00E63C26" w:rsidRPr="00E63C26" w:rsidRDefault="00E63C26" w:rsidP="00E63C2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Protect faculty time and boundaries</w:t>
      </w:r>
    </w:p>
    <w:p w14:paraId="12980D41"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Academic wellbeing and academic excellence are mutually reinforcing. Clear expectations, intentional structure, relational accountability, and explicit skill development reflect practices many faculty already use. This guide highlights ways to make those efforts more systematic, equitable, and sustainable.</w:t>
      </w:r>
    </w:p>
    <w:p w14:paraId="6E41327A"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i/>
          <w:iCs/>
          <w:kern w:val="0"/>
          <w14:ligatures w14:val="none"/>
        </w:rPr>
      </w:pPr>
      <w:r w:rsidRPr="00E63C26">
        <w:rPr>
          <w:rFonts w:ascii="Calibri" w:eastAsia="Times New Roman" w:hAnsi="Calibri" w:cs="Times New Roman"/>
          <w:i/>
          <w:iCs/>
          <w:kern w:val="0"/>
          <w14:ligatures w14:val="none"/>
          <w:sz w:val="22"/>
        </w:rPr>
        <w:t>Training and workshops are available for departments interested in exploring these practices further.</w:t>
      </w:r>
    </w:p>
    <w:p w14:paraId="563A778B"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i/>
          <w:iCs/>
          <w:kern w:val="0"/>
          <w14:ligatures w14:val="none"/>
        </w:rPr>
      </w:pPr>
      <w:r w:rsidRPr="00E63C26">
        <w:rPr>
          <w:rFonts w:ascii="Calibri" w:eastAsia="Times New Roman" w:hAnsi="Calibri" w:cs="Times New Roman"/>
          <w:i/>
          <w:iCs/>
          <w:kern w:val="0"/>
          <w14:ligatures w14:val="none"/>
          <w:sz w:val="22"/>
        </w:rPr>
        <w:t>Thank you for the work you do to support student learning and development.</w:t>
      </w:r>
    </w:p>
    <w:p w14:paraId="1C08E7D7" w14:textId="77777777" w:rsidR="00E63C26" w:rsidRPr="00E63C26" w:rsidRDefault="00601F27" w:rsidP="00E63C26">
      <w:pPr>
        <w:spacing w:after="0" w:line="240" w:lineRule="auto"/>
        <w:rPr>
          <w:rFonts w:ascii="Times New Roman" w:eastAsia="Times New Roman" w:hAnsi="Times New Roman" w:cs="Times New Roman"/>
          <w:kern w:val="0"/>
          <w14:ligatures w14:val="none"/>
        </w:rPr>
      </w:pPr>
      <w:r>
        <w:rPr>
          <w:rFonts w:ascii="Calibri" w:eastAsia="Times New Roman" w:hAnsi="Calibri" w:cs="Times New Roman"/>
          <w:kern w:val="0"/>
          <w14:ligatures w14:val="none"/>
          <w:sz w:val="22"/>
        </w:rPr>
        <w:pict w14:anchorId="347D7522">
          <v:rect id="_x0000_i1033" style="width:0;height:1.5pt" o:hralign="center" o:hrstd="t" o:hr="t" fillcolor="#a0a0a0" stroked="f"/>
        </w:pict>
      </w:r>
    </w:p>
    <w:p w14:paraId="1CB2DC81" w14:textId="77777777" w:rsidR="00E63C26" w:rsidRPr="00E63C26" w:rsidRDefault="00E63C26" w:rsidP="00E63C2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63C26">
        <w:rPr>
          <w:rFonts w:ascii="Calibri" w:eastAsia="Times New Roman" w:hAnsi="Calibri" w:cs="Times New Roman"/>
          <w:b/>
          <w:bCs/>
          <w:kern w:val="36"/>
          <w:sz w:val="22"/>
          <w:szCs w:val="48"/>
          <w14:ligatures w14:val="none"/>
        </w:rPr>
        <w:t>References</w:t>
      </w:r>
    </w:p>
    <w:p w14:paraId="14C1F996"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Adler, A. (2016). </w:t>
      </w:r>
      <w:r w:rsidRPr="00E63C26">
        <w:rPr>
          <w:rFonts w:ascii="Calibri" w:eastAsia="Times New Roman" w:hAnsi="Calibri" w:cs="Times New Roman"/>
          <w:i/>
          <w:iCs/>
          <w:kern w:val="0"/>
          <w14:ligatures w14:val="none"/>
          <w:sz w:val="22"/>
        </w:rPr>
        <w:t>Teaching well-being increases academic performance: Evidence from Bhutan, Mexico and Peru.</w:t>
      </w:r>
      <w:r w:rsidRPr="00E63C26">
        <w:rPr>
          <w:rFonts w:ascii="Calibri" w:eastAsia="Times New Roman" w:hAnsi="Calibri" w:cs="Times New Roman"/>
          <w:kern w:val="0"/>
          <w14:ligatures w14:val="none"/>
          <w:sz w:val="22"/>
        </w:rPr>
        <w:t xml:space="preserve"> Publicly Accessible Penn Dissertations.</w:t>
      </w:r>
    </w:p>
    <w:p w14:paraId="7090B639"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lastRenderedPageBreak/>
        <w:t xml:space="preserve">Ambrose, S. A., Bridges, M. W., DiPietro, M., Lovett, M. C., &amp; Norman, M. K. (2010). </w:t>
      </w:r>
      <w:proofErr w:type="gramStart"/>
      <w:r w:rsidRPr="00E63C26">
        <w:rPr>
          <w:rFonts w:ascii="Calibri" w:eastAsia="Times New Roman" w:hAnsi="Calibri" w:cs="Times New Roman"/>
          <w:i/>
          <w:iCs/>
          <w:kern w:val="0"/>
          <w14:ligatures w14:val="none"/>
          <w:sz w:val="22"/>
        </w:rPr>
        <w:t>How Learning</w:t>
      </w:r>
      <w:proofErr w:type="gramEnd"/>
      <w:r w:rsidRPr="00E63C26">
        <w:rPr>
          <w:rFonts w:ascii="Calibri" w:eastAsia="Times New Roman" w:hAnsi="Calibri" w:cs="Times New Roman"/>
          <w:i/>
          <w:iCs/>
          <w:kern w:val="0"/>
          <w14:ligatures w14:val="none"/>
          <w:sz w:val="22"/>
        </w:rPr>
        <w:t xml:space="preserve"> Works: Seven Research-Based Principles for Smart Teaching.</w:t>
      </w:r>
      <w:r w:rsidRPr="00E63C26">
        <w:rPr>
          <w:rFonts w:ascii="Calibri" w:eastAsia="Times New Roman" w:hAnsi="Calibri" w:cs="Times New Roman"/>
          <w:kern w:val="0"/>
          <w14:ligatures w14:val="none"/>
          <w:sz w:val="22"/>
        </w:rPr>
        <w:t xml:space="preserve"> Jossey-Bass.</w:t>
      </w:r>
    </w:p>
    <w:p w14:paraId="7AAB9487"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Beymer, P., &amp; Thomson, M. (2015). The effects of belonging on student engagement. </w:t>
      </w:r>
      <w:r w:rsidRPr="00E63C26">
        <w:rPr>
          <w:rFonts w:ascii="Calibri" w:eastAsia="Times New Roman" w:hAnsi="Calibri" w:cs="Times New Roman"/>
          <w:i/>
          <w:iCs/>
          <w:kern w:val="0"/>
          <w14:ligatures w14:val="none"/>
          <w:sz w:val="22"/>
        </w:rPr>
        <w:t>Contemporary Educational Psychology.</w:t>
      </w:r>
    </w:p>
    <w:p w14:paraId="236DE792"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Eisenberg, D., Hunt, J., &amp; Speer, N. (2013). Mental health in American colleges and universities: Variation across student subgroups and campuses. </w:t>
      </w:r>
      <w:r w:rsidRPr="00E63C26">
        <w:rPr>
          <w:rFonts w:ascii="Calibri" w:eastAsia="Times New Roman" w:hAnsi="Calibri" w:cs="Times New Roman"/>
          <w:i/>
          <w:iCs/>
          <w:kern w:val="0"/>
          <w14:ligatures w14:val="none"/>
          <w:sz w:val="22"/>
        </w:rPr>
        <w:t>Journal of Nervous and Mental Disease, 201</w:t>
      </w:r>
      <w:r w:rsidRPr="00E63C26">
        <w:rPr>
          <w:rFonts w:ascii="Calibri" w:eastAsia="Times New Roman" w:hAnsi="Calibri" w:cs="Times New Roman"/>
          <w:kern w:val="0"/>
          <w14:ligatures w14:val="none"/>
          <w:sz w:val="22"/>
        </w:rPr>
        <w:t>(1), 60–67.</w:t>
      </w:r>
    </w:p>
    <w:p w14:paraId="4A598E80"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Felten, P., &amp; Lambert, L. (2020). </w:t>
      </w:r>
      <w:r w:rsidRPr="00E63C26">
        <w:rPr>
          <w:rFonts w:ascii="Calibri" w:eastAsia="Times New Roman" w:hAnsi="Calibri" w:cs="Times New Roman"/>
          <w:i/>
          <w:iCs/>
          <w:kern w:val="0"/>
          <w14:ligatures w14:val="none"/>
          <w:sz w:val="22"/>
        </w:rPr>
        <w:t>Relationship-Rich Education.</w:t>
      </w:r>
      <w:r w:rsidRPr="00E63C26">
        <w:rPr>
          <w:rFonts w:ascii="Calibri" w:eastAsia="Times New Roman" w:hAnsi="Calibri" w:cs="Times New Roman"/>
          <w:kern w:val="0"/>
          <w14:ligatures w14:val="none"/>
          <w:sz w:val="22"/>
        </w:rPr>
        <w:t xml:space="preserve"> Johns Hopkins University Press.</w:t>
      </w:r>
    </w:p>
    <w:p w14:paraId="68BCA2C2"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Fernandez, A., Howse, E., Rubio-Valera, M., et al. (2016). Setting-based interventions to promote mental health at the university: A systematic review. </w:t>
      </w:r>
      <w:r w:rsidRPr="00E63C26">
        <w:rPr>
          <w:rFonts w:ascii="Calibri" w:eastAsia="Times New Roman" w:hAnsi="Calibri" w:cs="Times New Roman"/>
          <w:i/>
          <w:iCs/>
          <w:kern w:val="0"/>
          <w14:ligatures w14:val="none"/>
          <w:sz w:val="22"/>
        </w:rPr>
        <w:t>International Journal of Public Health, 61</w:t>
      </w:r>
      <w:r w:rsidRPr="00E63C26">
        <w:rPr>
          <w:rFonts w:ascii="Calibri" w:eastAsia="Times New Roman" w:hAnsi="Calibri" w:cs="Times New Roman"/>
          <w:kern w:val="0"/>
          <w14:ligatures w14:val="none"/>
          <w:sz w:val="22"/>
        </w:rPr>
        <w:t>, 797–807.</w:t>
      </w:r>
    </w:p>
    <w:p w14:paraId="27BCD9A6"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Ferrer, M., &amp; Laughlin, D. D. (2017). Increasing college students' engagement and physical activity with classroom brain breaks. </w:t>
      </w:r>
      <w:r w:rsidRPr="00E63C26">
        <w:rPr>
          <w:rFonts w:ascii="Calibri" w:eastAsia="Times New Roman" w:hAnsi="Calibri" w:cs="Times New Roman"/>
          <w:i/>
          <w:iCs/>
          <w:kern w:val="0"/>
          <w14:ligatures w14:val="none"/>
          <w:sz w:val="22"/>
        </w:rPr>
        <w:t>Journal of Physical Education, Recreation &amp; Dance, 88</w:t>
      </w:r>
      <w:r w:rsidRPr="00E63C26">
        <w:rPr>
          <w:rFonts w:ascii="Calibri" w:eastAsia="Times New Roman" w:hAnsi="Calibri" w:cs="Times New Roman"/>
          <w:kern w:val="0"/>
          <w14:ligatures w14:val="none"/>
          <w:sz w:val="22"/>
        </w:rPr>
        <w:t>(3), 53–56.</w:t>
      </w:r>
    </w:p>
    <w:p w14:paraId="12F681BC"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Keyes, C. L., Eisenberg, D., Perry, G. S., Dube, S. R., Kroenke, K., &amp; Dhingra</w:t>
      </w:r>
      <w:proofErr w:type="gramStart"/>
      <w:r w:rsidRPr="00E63C26">
        <w:rPr>
          <w:rFonts w:ascii="Calibri" w:eastAsia="Times New Roman" w:hAnsi="Calibri" w:cs="Times New Roman"/>
          <w:kern w:val="0"/>
          <w14:ligatures w14:val="none"/>
          <w:sz w:val="22"/>
        </w:rPr>
        <w:t>, S.</w:t>
      </w:r>
      <w:proofErr w:type="gramEnd"/>
      <w:r w:rsidRPr="00E63C26">
        <w:rPr>
          <w:rFonts w:ascii="Calibri" w:eastAsia="Times New Roman" w:hAnsi="Calibri" w:cs="Times New Roman"/>
          <w:kern w:val="0"/>
          <w14:ligatures w14:val="none"/>
          <w:sz w:val="22"/>
        </w:rPr>
        <w:t xml:space="preserve"> S. (2012). The relationship of positive mental health with mental disorders in predicting suicidal behavior and academic impairment in college students. </w:t>
      </w:r>
      <w:r w:rsidRPr="00E63C26">
        <w:rPr>
          <w:rFonts w:ascii="Calibri" w:eastAsia="Times New Roman" w:hAnsi="Calibri" w:cs="Times New Roman"/>
          <w:i/>
          <w:iCs/>
          <w:kern w:val="0"/>
          <w14:ligatures w14:val="none"/>
          <w:sz w:val="22"/>
        </w:rPr>
        <w:t>Journal of American College Health, 60</w:t>
      </w:r>
      <w:r w:rsidRPr="00E63C26">
        <w:rPr>
          <w:rFonts w:ascii="Calibri" w:eastAsia="Times New Roman" w:hAnsi="Calibri" w:cs="Times New Roman"/>
          <w:kern w:val="0"/>
          <w14:ligatures w14:val="none"/>
          <w:sz w:val="22"/>
        </w:rPr>
        <w:t>(2), 126–133.</w:t>
      </w:r>
    </w:p>
    <w:p w14:paraId="15DBC744"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Kuo, M., Barnes, M., &amp; Jordan, C. (2019). Do experiences with nature promote learning? Converging evidence of a cause-and-effect relationship. </w:t>
      </w:r>
      <w:r w:rsidRPr="00E63C26">
        <w:rPr>
          <w:rFonts w:ascii="Calibri" w:eastAsia="Times New Roman" w:hAnsi="Calibri" w:cs="Times New Roman"/>
          <w:i/>
          <w:iCs/>
          <w:kern w:val="0"/>
          <w14:ligatures w14:val="none"/>
          <w:sz w:val="22"/>
        </w:rPr>
        <w:t>Frontiers in Psychology, 10</w:t>
      </w:r>
      <w:r w:rsidRPr="00E63C26">
        <w:rPr>
          <w:rFonts w:ascii="Calibri" w:eastAsia="Times New Roman" w:hAnsi="Calibri" w:cs="Times New Roman"/>
          <w:kern w:val="0"/>
          <w14:ligatures w14:val="none"/>
          <w:sz w:val="22"/>
        </w:rPr>
        <w:t>, 305.</w:t>
      </w:r>
    </w:p>
    <w:p w14:paraId="2B78377F"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Lang, J. M. (2016). </w:t>
      </w:r>
      <w:r w:rsidRPr="00E63C26">
        <w:rPr>
          <w:rFonts w:ascii="Calibri" w:eastAsia="Times New Roman" w:hAnsi="Calibri" w:cs="Times New Roman"/>
          <w:i/>
          <w:iCs/>
          <w:kern w:val="0"/>
          <w14:ligatures w14:val="none"/>
          <w:sz w:val="22"/>
        </w:rPr>
        <w:t>Small Teaching.</w:t>
      </w:r>
      <w:r w:rsidRPr="00E63C26">
        <w:rPr>
          <w:rFonts w:ascii="Calibri" w:eastAsia="Times New Roman" w:hAnsi="Calibri" w:cs="Times New Roman"/>
          <w:kern w:val="0"/>
          <w14:ligatures w14:val="none"/>
          <w:sz w:val="22"/>
        </w:rPr>
        <w:t xml:space="preserve"> Jossey-Bass.</w:t>
      </w:r>
    </w:p>
    <w:p w14:paraId="3DF5DB07"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Ruesch, J. M., &amp; </w:t>
      </w:r>
      <w:proofErr w:type="spellStart"/>
      <w:r w:rsidRPr="00E63C26">
        <w:rPr>
          <w:rFonts w:ascii="Calibri" w:eastAsia="Times New Roman" w:hAnsi="Calibri" w:cs="Times New Roman"/>
          <w:kern w:val="0"/>
          <w14:ligatures w14:val="none"/>
          <w:sz w:val="22"/>
        </w:rPr>
        <w:t>Sarvary</w:t>
      </w:r>
      <w:proofErr w:type="spellEnd"/>
      <w:r w:rsidRPr="00E63C26">
        <w:rPr>
          <w:rFonts w:ascii="Calibri" w:eastAsia="Times New Roman" w:hAnsi="Calibri" w:cs="Times New Roman"/>
          <w:kern w:val="0"/>
          <w14:ligatures w14:val="none"/>
          <w:sz w:val="22"/>
        </w:rPr>
        <w:t xml:space="preserve">, M. A. (2024). Structure and flexibility: Systemic and explicit assignment extensions foster an inclusive learning environment. </w:t>
      </w:r>
      <w:r w:rsidRPr="00E63C26">
        <w:rPr>
          <w:rFonts w:ascii="Calibri" w:eastAsia="Times New Roman" w:hAnsi="Calibri" w:cs="Times New Roman"/>
          <w:i/>
          <w:iCs/>
          <w:kern w:val="0"/>
          <w14:ligatures w14:val="none"/>
          <w:sz w:val="22"/>
        </w:rPr>
        <w:t>Frontiers in Education.</w:t>
      </w:r>
    </w:p>
    <w:p w14:paraId="1BE077DB"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r w:rsidRPr="00E63C26">
        <w:rPr>
          <w:rFonts w:ascii="Calibri" w:eastAsia="Times New Roman" w:hAnsi="Calibri" w:cs="Times New Roman"/>
          <w:kern w:val="0"/>
          <w14:ligatures w14:val="none"/>
          <w:sz w:val="22"/>
        </w:rPr>
        <w:t xml:space="preserve">Tinto, V. (2012). </w:t>
      </w:r>
      <w:r w:rsidRPr="00E63C26">
        <w:rPr>
          <w:rFonts w:ascii="Calibri" w:eastAsia="Times New Roman" w:hAnsi="Calibri" w:cs="Times New Roman"/>
          <w:i/>
          <w:iCs/>
          <w:kern w:val="0"/>
          <w14:ligatures w14:val="none"/>
          <w:sz w:val="22"/>
        </w:rPr>
        <w:t>Completing College: Rethinking Institutional Action.</w:t>
      </w:r>
      <w:r w:rsidRPr="00E63C26">
        <w:rPr>
          <w:rFonts w:ascii="Calibri" w:eastAsia="Times New Roman" w:hAnsi="Calibri" w:cs="Times New Roman"/>
          <w:kern w:val="0"/>
          <w14:ligatures w14:val="none"/>
          <w:sz w:val="22"/>
        </w:rPr>
        <w:t xml:space="preserve"> University of Chicago Press.</w:t>
      </w:r>
    </w:p>
    <w:p w14:paraId="0D62DE02" w14:textId="77777777" w:rsidR="00E63C26" w:rsidRPr="00E63C26" w:rsidRDefault="00E63C26" w:rsidP="00E63C26">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E63C26">
        <w:rPr>
          <w:rFonts w:ascii="Calibri" w:eastAsia="Times New Roman" w:hAnsi="Calibri" w:cs="Times New Roman"/>
          <w:kern w:val="0"/>
          <w14:ligatures w14:val="none"/>
          <w:sz w:val="22"/>
        </w:rPr>
        <w:t>Zandvliet</w:t>
      </w:r>
      <w:proofErr w:type="spellEnd"/>
      <w:r w:rsidRPr="00E63C26">
        <w:rPr>
          <w:rFonts w:ascii="Calibri" w:eastAsia="Times New Roman" w:hAnsi="Calibri" w:cs="Times New Roman"/>
          <w:kern w:val="0"/>
          <w14:ligatures w14:val="none"/>
          <w:sz w:val="22"/>
        </w:rPr>
        <w:t xml:space="preserve">, D. B., Stanton, A., &amp; Dhaliwal, R. (2019). Design and validation of a tool to measure associations between the learning environment and student well-being: The Healthy Environments and Learning Practices Survey (HELPS). </w:t>
      </w:r>
      <w:r w:rsidRPr="00E63C26">
        <w:rPr>
          <w:rFonts w:ascii="Calibri" w:eastAsia="Times New Roman" w:hAnsi="Calibri" w:cs="Times New Roman"/>
          <w:i/>
          <w:iCs/>
          <w:kern w:val="0"/>
          <w14:ligatures w14:val="none"/>
          <w:sz w:val="22"/>
        </w:rPr>
        <w:t>Innovative Higher Education, 44</w:t>
      </w:r>
      <w:r w:rsidRPr="00E63C26">
        <w:rPr>
          <w:rFonts w:ascii="Calibri" w:eastAsia="Times New Roman" w:hAnsi="Calibri" w:cs="Times New Roman"/>
          <w:kern w:val="0"/>
          <w14:ligatures w14:val="none"/>
          <w:sz w:val="22"/>
        </w:rPr>
        <w:t>, 283–297.</w:t>
      </w:r>
    </w:p>
    <w:p w14:paraId="2CFEA97C" w14:textId="29EF577F" w:rsidR="00E63C26" w:rsidRPr="00E63C26" w:rsidRDefault="00E63C26" w:rsidP="00E63C26"/>
    <w:sectPr w:rsidR="00E63C26" w:rsidRPr="00E63C26">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Loyola University Maryland | Academic Wellbeing Initiative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006847"/>
        <w:sz w:val="20"/>
      </w:rPr>
      <w:t>Loyola University Maryland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F77B4"/>
    <w:multiLevelType w:val="multilevel"/>
    <w:tmpl w:val="0304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D49A9"/>
    <w:multiLevelType w:val="multilevel"/>
    <w:tmpl w:val="3060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37EBF"/>
    <w:multiLevelType w:val="multilevel"/>
    <w:tmpl w:val="6FB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E1177"/>
    <w:multiLevelType w:val="multilevel"/>
    <w:tmpl w:val="90AE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5617D"/>
    <w:multiLevelType w:val="multilevel"/>
    <w:tmpl w:val="979E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04057"/>
    <w:multiLevelType w:val="multilevel"/>
    <w:tmpl w:val="F538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8939E0"/>
    <w:multiLevelType w:val="multilevel"/>
    <w:tmpl w:val="F290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55AD7"/>
    <w:multiLevelType w:val="multilevel"/>
    <w:tmpl w:val="8108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06BF6"/>
    <w:multiLevelType w:val="multilevel"/>
    <w:tmpl w:val="01D0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E6501D"/>
    <w:multiLevelType w:val="multilevel"/>
    <w:tmpl w:val="651E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E48A7"/>
    <w:multiLevelType w:val="multilevel"/>
    <w:tmpl w:val="0B1C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818B0"/>
    <w:multiLevelType w:val="multilevel"/>
    <w:tmpl w:val="9860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5329C2"/>
    <w:multiLevelType w:val="multilevel"/>
    <w:tmpl w:val="4996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91900"/>
    <w:multiLevelType w:val="multilevel"/>
    <w:tmpl w:val="8DE8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4E34C1"/>
    <w:multiLevelType w:val="multilevel"/>
    <w:tmpl w:val="1388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BF14BA"/>
    <w:multiLevelType w:val="multilevel"/>
    <w:tmpl w:val="8D78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B601F0"/>
    <w:multiLevelType w:val="multilevel"/>
    <w:tmpl w:val="FF74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245242">
    <w:abstractNumId w:val="4"/>
  </w:num>
  <w:num w:numId="2" w16cid:durableId="66073077">
    <w:abstractNumId w:val="12"/>
  </w:num>
  <w:num w:numId="3" w16cid:durableId="1639338684">
    <w:abstractNumId w:val="5"/>
  </w:num>
  <w:num w:numId="4" w16cid:durableId="1543515637">
    <w:abstractNumId w:val="11"/>
  </w:num>
  <w:num w:numId="5" w16cid:durableId="1101485232">
    <w:abstractNumId w:val="7"/>
  </w:num>
  <w:num w:numId="6" w16cid:durableId="1187910210">
    <w:abstractNumId w:val="6"/>
  </w:num>
  <w:num w:numId="7" w16cid:durableId="92483746">
    <w:abstractNumId w:val="2"/>
  </w:num>
  <w:num w:numId="8" w16cid:durableId="992640664">
    <w:abstractNumId w:val="16"/>
  </w:num>
  <w:num w:numId="9" w16cid:durableId="63577391">
    <w:abstractNumId w:val="3"/>
  </w:num>
  <w:num w:numId="10" w16cid:durableId="1872494986">
    <w:abstractNumId w:val="10"/>
  </w:num>
  <w:num w:numId="11" w16cid:durableId="121458772">
    <w:abstractNumId w:val="8"/>
  </w:num>
  <w:num w:numId="12" w16cid:durableId="1137189521">
    <w:abstractNumId w:val="15"/>
  </w:num>
  <w:num w:numId="13" w16cid:durableId="1118643519">
    <w:abstractNumId w:val="9"/>
  </w:num>
  <w:num w:numId="14" w16cid:durableId="762187867">
    <w:abstractNumId w:val="0"/>
  </w:num>
  <w:num w:numId="15" w16cid:durableId="1562908047">
    <w:abstractNumId w:val="1"/>
  </w:num>
  <w:num w:numId="16" w16cid:durableId="1715231234">
    <w:abstractNumId w:val="14"/>
  </w:num>
  <w:num w:numId="17" w16cid:durableId="229778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C26"/>
    <w:rsid w:val="00210A49"/>
    <w:rsid w:val="003B2BBD"/>
    <w:rsid w:val="0055055F"/>
    <w:rsid w:val="005F6988"/>
    <w:rsid w:val="00601F27"/>
    <w:rsid w:val="0083091E"/>
    <w:rsid w:val="00BF4D8B"/>
    <w:rsid w:val="00D77F92"/>
    <w:rsid w:val="00E63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B0E7890"/>
  <w15:chartTrackingRefBased/>
  <w15:docId w15:val="{E4F14AAB-654C-43FA-AB34-08A721BC6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C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3C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63C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C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3C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3C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C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C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C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C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3C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63C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C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3C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3C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C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C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C26"/>
    <w:rPr>
      <w:rFonts w:eastAsiaTheme="majorEastAsia" w:cstheme="majorBidi"/>
      <w:color w:val="272727" w:themeColor="text1" w:themeTint="D8"/>
    </w:rPr>
  </w:style>
  <w:style w:type="paragraph" w:styleId="Title">
    <w:name w:val="Title"/>
    <w:basedOn w:val="Normal"/>
    <w:next w:val="Normal"/>
    <w:link w:val="TitleChar"/>
    <w:uiPriority w:val="10"/>
    <w:qFormat/>
    <w:rsid w:val="00E63C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C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C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C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C26"/>
    <w:pPr>
      <w:spacing w:before="160"/>
      <w:jc w:val="center"/>
    </w:pPr>
    <w:rPr>
      <w:i/>
      <w:iCs/>
      <w:color w:val="404040" w:themeColor="text1" w:themeTint="BF"/>
    </w:rPr>
  </w:style>
  <w:style w:type="character" w:customStyle="1" w:styleId="QuoteChar">
    <w:name w:val="Quote Char"/>
    <w:basedOn w:val="DefaultParagraphFont"/>
    <w:link w:val="Quote"/>
    <w:uiPriority w:val="29"/>
    <w:rsid w:val="00E63C26"/>
    <w:rPr>
      <w:i/>
      <w:iCs/>
      <w:color w:val="404040" w:themeColor="text1" w:themeTint="BF"/>
    </w:rPr>
  </w:style>
  <w:style w:type="paragraph" w:styleId="ListParagraph">
    <w:name w:val="List Paragraph"/>
    <w:basedOn w:val="Normal"/>
    <w:uiPriority w:val="34"/>
    <w:qFormat/>
    <w:rsid w:val="00E63C26"/>
    <w:pPr>
      <w:ind w:left="720"/>
      <w:contextualSpacing/>
    </w:pPr>
  </w:style>
  <w:style w:type="character" w:styleId="IntenseEmphasis">
    <w:name w:val="Intense Emphasis"/>
    <w:basedOn w:val="DefaultParagraphFont"/>
    <w:uiPriority w:val="21"/>
    <w:qFormat/>
    <w:rsid w:val="00E63C26"/>
    <w:rPr>
      <w:i/>
      <w:iCs/>
      <w:color w:val="0F4761" w:themeColor="accent1" w:themeShade="BF"/>
    </w:rPr>
  </w:style>
  <w:style w:type="paragraph" w:styleId="IntenseQuote">
    <w:name w:val="Intense Quote"/>
    <w:basedOn w:val="Normal"/>
    <w:next w:val="Normal"/>
    <w:link w:val="IntenseQuoteChar"/>
    <w:uiPriority w:val="30"/>
    <w:qFormat/>
    <w:rsid w:val="00E63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C26"/>
    <w:rPr>
      <w:i/>
      <w:iCs/>
      <w:color w:val="0F4761" w:themeColor="accent1" w:themeShade="BF"/>
    </w:rPr>
  </w:style>
  <w:style w:type="character" w:styleId="IntenseReference">
    <w:name w:val="Intense Reference"/>
    <w:basedOn w:val="DefaultParagraphFont"/>
    <w:uiPriority w:val="32"/>
    <w:qFormat/>
    <w:rsid w:val="00E63C26"/>
    <w:rPr>
      <w:b/>
      <w:bCs/>
      <w:smallCaps/>
      <w:color w:val="0F4761" w:themeColor="accent1" w:themeShade="BF"/>
      <w:spacing w:val="5"/>
    </w:rPr>
  </w:style>
  <w:style w:type="character" w:styleId="Hyperlink">
    <w:name w:val="Hyperlink"/>
    <w:basedOn w:val="DefaultParagraphFont"/>
    <w:uiPriority w:val="99"/>
    <w:unhideWhenUsed/>
    <w:rsid w:val="00E63C26"/>
    <w:rPr>
      <w:color w:val="467886" w:themeColor="hyperlink"/>
      <w:u w:val="single"/>
    </w:rPr>
  </w:style>
  <w:style w:type="character" w:styleId="UnresolvedMention">
    <w:name w:val="Unresolved Mention"/>
    <w:basedOn w:val="DefaultParagraphFont"/>
    <w:uiPriority w:val="99"/>
    <w:semiHidden/>
    <w:unhideWhenUsed/>
    <w:rsid w:val="00E63C26"/>
    <w:rPr>
      <w:color w:val="605E5C"/>
      <w:shd w:val="clear" w:color="auto" w:fill="E1DFDD"/>
    </w:rPr>
  </w:style>
  <w:style w:type="paragraph" w:styleId="NormalWeb">
    <w:name w:val="Normal (Web)"/>
    <w:basedOn w:val="Normal"/>
    <w:uiPriority w:val="99"/>
    <w:semiHidden/>
    <w:unhideWhenUsed/>
    <w:rsid w:val="00210A4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10A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2.xml"/><Relationship Id="rId5" Type="http://schemas.openxmlformats.org/officeDocument/2006/relationships/hyperlink" Target="https://www.chronicle.com/article/academe-has-a-lot-to-learn-about-how-inclusive-teaching-affects-instructors"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43D8B366D6254889DE290B224141D0" ma:contentTypeVersion="19" ma:contentTypeDescription="Create a new document." ma:contentTypeScope="" ma:versionID="bbb9f117b21814eead87544e26e9f779">
  <xsd:schema xmlns:xsd="http://www.w3.org/2001/XMLSchema" xmlns:xs="http://www.w3.org/2001/XMLSchema" xmlns:p="http://schemas.microsoft.com/office/2006/metadata/properties" xmlns:ns2="9f8b9652-50da-4232-ad3e-a1f7ceaa0326" xmlns:ns3="f30fb523-589c-48ab-8f7c-4f3e95820352" targetNamespace="http://schemas.microsoft.com/office/2006/metadata/properties" ma:root="true" ma:fieldsID="8f8ad4c9ca4fb98eb08e5c13c1065d00" ns2:_="" ns3:_="">
    <xsd:import namespace="9f8b9652-50da-4232-ad3e-a1f7ceaa0326"/>
    <xsd:import namespace="f30fb523-589c-48ab-8f7c-4f3e95820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o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b9652-50da-4232-ad3e-a1f7ceaa0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Note" ma:index="24" nillable="true" ma:displayName="Note" ma:format="Dropdown" ma:internalName="Note">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fb523-589c-48ab-8f7c-4f3e95820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c9b8fe-c12e-4d5d-9255-e1bc7a28ac7c}" ma:internalName="TaxCatchAll" ma:showField="CatchAllData" ma:web="f30fb523-589c-48ab-8f7c-4f3e95820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0fb523-589c-48ab-8f7c-4f3e95820352" xsi:nil="true"/>
    <Note xmlns="9f8b9652-50da-4232-ad3e-a1f7ceaa0326" xsi:nil="true"/>
    <lcf76f155ced4ddcb4097134ff3c332f xmlns="9f8b9652-50da-4232-ad3e-a1f7ceaa0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BDF5C3-AEE9-4708-B0C9-E5A829F9E37D}"/>
</file>

<file path=customXml/itemProps2.xml><?xml version="1.0" encoding="utf-8"?>
<ds:datastoreItem xmlns:ds="http://schemas.openxmlformats.org/officeDocument/2006/customXml" ds:itemID="{C56E6927-B1CE-49A5-9618-F225FAC478C2}"/>
</file>

<file path=customXml/itemProps3.xml><?xml version="1.0" encoding="utf-8"?>
<ds:datastoreItem xmlns:ds="http://schemas.openxmlformats.org/officeDocument/2006/customXml" ds:itemID="{AA4B3E10-A23D-4C34-8E10-D644CA80F0F5}"/>
</file>

<file path=docProps/app.xml><?xml version="1.0" encoding="utf-8"?>
<Properties xmlns="http://schemas.openxmlformats.org/officeDocument/2006/extended-properties" xmlns:vt="http://schemas.openxmlformats.org/officeDocument/2006/docPropsVTypes">
  <Template>Normal</Template>
  <TotalTime>20</TotalTime>
  <Pages>7</Pages>
  <Words>1649</Words>
  <Characters>10592</Characters>
  <Application>Microsoft Office Word</Application>
  <DocSecurity>0</DocSecurity>
  <Lines>207</Lines>
  <Paragraphs>124</Paragraphs>
  <ScaleCrop>false</ScaleCrop>
  <HeadingPairs>
    <vt:vector size="2" baseType="variant">
      <vt:variant>
        <vt:lpstr>Title</vt:lpstr>
      </vt:variant>
      <vt:variant>
        <vt:i4>1</vt:i4>
      </vt:variant>
    </vt:vector>
  </HeadingPairs>
  <TitlesOfParts>
    <vt:vector size="1" baseType="lpstr">
      <vt:lpstr/>
    </vt:vector>
  </TitlesOfParts>
  <Company>Loyola University Maryland</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Parcover</dc:creator>
  <cp:keywords/>
  <dc:description/>
  <cp:lastModifiedBy>Jason Parcover</cp:lastModifiedBy>
  <cp:revision>5</cp:revision>
  <cp:lastPrinted>2026-04-01T19:07:00Z</cp:lastPrinted>
  <dcterms:created xsi:type="dcterms:W3CDTF">2026-03-05T19:30:00Z</dcterms:created>
  <dcterms:modified xsi:type="dcterms:W3CDTF">2026-04-01T19:08:00Z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0x010100A043D8B366D6254889DE290B224141D0</vt:lpwstr>
  </property>
</Properties>
</file>